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77213" w:rsidP="002C5028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77721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Standards Australia New Zealand (</w:t>
            </w:r>
            <w:proofErr w:type="spellStart"/>
            <w:r>
              <w:t>FSANZ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3" w:name="sps3a"/>
            <w:bookmarkEnd w:id="3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772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772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Proposal to amend Schedule 20 of the revised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(5 September 2017)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B674B3" w:rsidP="00441372">
            <w:pPr>
              <w:spacing w:after="120"/>
            </w:pPr>
            <w:hyperlink r:id="rId8" w:tgtFrame="_blank" w:history="1">
              <w:r w:rsidR="00777213">
                <w:rPr>
                  <w:color w:val="0000FF"/>
                  <w:u w:val="single"/>
                </w:rPr>
                <w:t>https://apvma.gov.au/sites/default/files/gazette/food-standards/gazette_2017090_-_page_58-64_a957592.pdf</w:t>
              </w:r>
            </w:hyperlink>
            <w:r w:rsidR="00777213">
              <w:t xml:space="preserve"> </w:t>
            </w:r>
            <w:bookmarkStart w:id="11" w:name="sps5d"/>
            <w:bookmarkEnd w:id="11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2C5028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Proposal seeks to amend the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to align the following maximum residue limits (</w:t>
            </w:r>
            <w:proofErr w:type="spellStart"/>
            <w:r>
              <w:t>MRLs</w:t>
            </w:r>
            <w:proofErr w:type="spellEnd"/>
            <w:r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A60E68" w:rsidRDefault="00777213" w:rsidP="00777213">
            <w:pPr>
              <w:pStyle w:val="Paragraphedeliste"/>
              <w:numPr>
                <w:ilvl w:val="0"/>
                <w:numId w:val="17"/>
              </w:numPr>
              <w:spacing w:after="120"/>
              <w:ind w:left="368"/>
            </w:pPr>
            <w:proofErr w:type="spellStart"/>
            <w:r>
              <w:t>Chlorantraniliprole</w:t>
            </w:r>
            <w:proofErr w:type="spellEnd"/>
            <w:r>
              <w:t xml:space="preserve">, </w:t>
            </w:r>
            <w:proofErr w:type="spellStart"/>
            <w:r>
              <w:t>Clomazone</w:t>
            </w:r>
            <w:proofErr w:type="spellEnd"/>
            <w:r>
              <w:t xml:space="preserve">, </w:t>
            </w:r>
            <w:proofErr w:type="spellStart"/>
            <w:r>
              <w:t>Clothianidin</w:t>
            </w:r>
            <w:proofErr w:type="spellEnd"/>
            <w:r>
              <w:t xml:space="preserve">, </w:t>
            </w:r>
            <w:proofErr w:type="spellStart"/>
            <w:r>
              <w:t>Cyanamide</w:t>
            </w:r>
            <w:proofErr w:type="spellEnd"/>
            <w:r>
              <w:t xml:space="preserve">, </w:t>
            </w:r>
            <w:proofErr w:type="spellStart"/>
            <w:r>
              <w:t>Cyclaniliprole</w:t>
            </w:r>
            <w:proofErr w:type="spellEnd"/>
            <w:r>
              <w:t xml:space="preserve">, </w:t>
            </w:r>
            <w:proofErr w:type="spellStart"/>
            <w:r>
              <w:t>Cyprodinil</w:t>
            </w:r>
            <w:proofErr w:type="spellEnd"/>
            <w:r>
              <w:t xml:space="preserve">, </w:t>
            </w:r>
            <w:proofErr w:type="spellStart"/>
            <w:r>
              <w:t>Dimethomorph</w:t>
            </w:r>
            <w:proofErr w:type="spellEnd"/>
            <w:r>
              <w:t xml:space="preserve">, </w:t>
            </w:r>
            <w:proofErr w:type="spellStart"/>
            <w:r>
              <w:t>Fludioxonil</w:t>
            </w:r>
            <w:proofErr w:type="spellEnd"/>
            <w:r>
              <w:t xml:space="preserve">, </w:t>
            </w:r>
            <w:proofErr w:type="spellStart"/>
            <w:r>
              <w:t>Haloxyfop</w:t>
            </w:r>
            <w:proofErr w:type="spellEnd"/>
            <w:r>
              <w:t xml:space="preserve">, </w:t>
            </w:r>
            <w:proofErr w:type="spellStart"/>
            <w:r>
              <w:t>Mandipropamid</w:t>
            </w:r>
            <w:proofErr w:type="spellEnd"/>
            <w:r>
              <w:t xml:space="preserve">, </w:t>
            </w:r>
            <w:proofErr w:type="spellStart"/>
            <w:r>
              <w:t>Methomyl</w:t>
            </w:r>
            <w:proofErr w:type="spellEnd"/>
            <w:r>
              <w:t xml:space="preserve">, </w:t>
            </w:r>
            <w:proofErr w:type="spellStart"/>
            <w:r>
              <w:t>Methoxyfenozide</w:t>
            </w:r>
            <w:proofErr w:type="spellEnd"/>
            <w:r>
              <w:t xml:space="preserve">, </w:t>
            </w:r>
            <w:proofErr w:type="spellStart"/>
            <w:r>
              <w:t>Napropamide</w:t>
            </w:r>
            <w:proofErr w:type="spellEnd"/>
            <w:r>
              <w:t xml:space="preserve"> and Phosphorous acid in specified plant commodities;</w:t>
            </w:r>
          </w:p>
          <w:p w:rsidR="00A60E68" w:rsidRDefault="00777213" w:rsidP="00777213">
            <w:pPr>
              <w:pStyle w:val="Paragraphedeliste"/>
              <w:numPr>
                <w:ilvl w:val="0"/>
                <w:numId w:val="17"/>
              </w:numPr>
              <w:spacing w:after="120"/>
              <w:ind w:left="368"/>
            </w:pPr>
            <w:proofErr w:type="spellStart"/>
            <w:r>
              <w:t>Clomazone</w:t>
            </w:r>
            <w:proofErr w:type="spellEnd"/>
            <w:r>
              <w:t xml:space="preserve">, </w:t>
            </w:r>
            <w:proofErr w:type="spellStart"/>
            <w:r>
              <w:t>Cyclaniliprole</w:t>
            </w:r>
            <w:proofErr w:type="spellEnd"/>
            <w:r>
              <w:t xml:space="preserve"> and </w:t>
            </w:r>
            <w:proofErr w:type="spellStart"/>
            <w:r>
              <w:t>Napropamide</w:t>
            </w:r>
            <w:proofErr w:type="spellEnd"/>
            <w:r>
              <w:t xml:space="preserve"> in specified animal commodities.</w:t>
            </w:r>
            <w:bookmarkStart w:id="12" w:name="sps6a"/>
            <w:bookmarkEnd w:id="12"/>
          </w:p>
        </w:tc>
      </w:tr>
      <w:tr w:rsidR="00A60E68" w:rsidTr="0077721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60E68" w:rsidTr="00777213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777213" w:rsidRDefault="00777213" w:rsidP="002C5028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777213" w:rsidP="00777213">
            <w:pPr>
              <w:pStyle w:val="Paragraphedeliste"/>
              <w:numPr>
                <w:ilvl w:val="0"/>
                <w:numId w:val="16"/>
              </w:numPr>
              <w:spacing w:after="120"/>
              <w:ind w:left="970" w:hanging="252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Pr="00441372">
              <w:t>1 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for Pesticides 2009</w:t>
            </w:r>
          </w:p>
          <w:p w:rsidR="00A60E68" w:rsidRPr="00441372" w:rsidRDefault="00777213" w:rsidP="00777213">
            <w:pPr>
              <w:pStyle w:val="Paragraphedeliste"/>
              <w:numPr>
                <w:ilvl w:val="0"/>
                <w:numId w:val="16"/>
              </w:numPr>
              <w:spacing w:after="120"/>
              <w:ind w:left="970" w:hanging="252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Pr="00441372">
              <w:t>2 Maximum Residue Limits for Veterinary Drugs in Food 2009</w:t>
            </w:r>
          </w:p>
          <w:p w:rsidR="00A60E68" w:rsidRPr="00441372" w:rsidRDefault="00777213" w:rsidP="00777213">
            <w:pPr>
              <w:pStyle w:val="Paragraphedeliste"/>
              <w:numPr>
                <w:ilvl w:val="0"/>
                <w:numId w:val="16"/>
              </w:numPr>
              <w:spacing w:after="120"/>
              <w:ind w:left="970" w:hanging="252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Pr="00441372">
              <w:t>3 Extraneous Maximum Residue Limits (</w:t>
            </w:r>
            <w:proofErr w:type="spellStart"/>
            <w:r w:rsidRPr="00441372">
              <w:t>EMRLs</w:t>
            </w:r>
            <w:proofErr w:type="spellEnd"/>
            <w:r w:rsidRPr="00441372">
              <w:t>) 2001 and subsequent variations to relevant standards as adopted or revoked by the Commission</w:t>
            </w:r>
            <w:bookmarkEnd w:id="20"/>
          </w:p>
          <w:p w:rsidR="00EA4725" w:rsidRPr="00441372" w:rsidRDefault="007772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772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77213" w:rsidP="00777213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777213" w:rsidP="0077721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7772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77721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Certain proposed limits may differ from Codex limits.</w:t>
            </w:r>
          </w:p>
          <w:p w:rsidR="00A60E68" w:rsidRPr="00441372" w:rsidRDefault="00777213" w:rsidP="00441372">
            <w:pPr>
              <w:spacing w:after="120"/>
            </w:pPr>
            <w:r w:rsidRPr="00441372">
              <w:t xml:space="preserve">The scientific methodology used by Australia to establish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consistent with international best practice. Countries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according to the good agricultural practice (GAP) or good veterinary practice (</w:t>
            </w:r>
            <w:proofErr w:type="spellStart"/>
            <w:r w:rsidRPr="00441372">
              <w:t>GVP</w:t>
            </w:r>
            <w:proofErr w:type="spellEnd"/>
            <w:r w:rsidRPr="00441372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agricultural and veterinary chemicals in food may differ from Codex standards.</w:t>
            </w:r>
            <w:bookmarkEnd w:id="28"/>
          </w:p>
        </w:tc>
      </w:tr>
      <w:tr w:rsidR="00A60E68" w:rsidTr="00777213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777213" w:rsidRDefault="00777213" w:rsidP="002C5028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rPr>
                <w:i/>
                <w:iCs/>
              </w:rPr>
              <w:t>Australia New Zealand Food Standards Code</w:t>
            </w:r>
            <w:r>
              <w:t>:</w:t>
            </w:r>
          </w:p>
          <w:p w:rsidR="00EA4725" w:rsidRPr="00441372" w:rsidRDefault="00B674B3" w:rsidP="00777213">
            <w:pPr>
              <w:spacing w:after="120"/>
            </w:pPr>
            <w:hyperlink r:id="rId9" w:tgtFrame="_blank" w:history="1">
              <w:r w:rsidR="00777213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29" w:name="sps9a"/>
            <w:bookmarkEnd w:id="29"/>
            <w:r w:rsidR="00777213" w:rsidRPr="00441372">
              <w:rPr>
                <w:bCs/>
              </w:rPr>
              <w:t xml:space="preserve"> </w:t>
            </w:r>
            <w:r w:rsidR="00777213">
              <w:t>(available in English)</w:t>
            </w:r>
            <w:bookmarkStart w:id="30" w:name="sps9b"/>
            <w:bookmarkEnd w:id="30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Adoption anticipated November 2017.</w:t>
            </w:r>
            <w:bookmarkStart w:id="31" w:name="sps10a"/>
            <w:bookmarkEnd w:id="31"/>
          </w:p>
          <w:p w:rsidR="00EA4725" w:rsidRPr="00441372" w:rsidRDefault="0077721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Publication anticipated November 2017.</w:t>
            </w:r>
            <w:bookmarkStart w:id="32" w:name="sps10bisa"/>
            <w:bookmarkEnd w:id="32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Entry into force anticipated November 2017.</w:t>
            </w:r>
            <w:bookmarkStart w:id="34" w:name="sps11a"/>
            <w:bookmarkEnd w:id="34"/>
          </w:p>
          <w:p w:rsidR="00EA4725" w:rsidRPr="00441372" w:rsidRDefault="007772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r>
              <w:t xml:space="preserve">The proposal will establish or increase Australian </w:t>
            </w:r>
            <w:proofErr w:type="spellStart"/>
            <w:r>
              <w:t>MRLs</w:t>
            </w:r>
            <w:proofErr w:type="spellEnd"/>
            <w:r>
              <w:t xml:space="preserve"> for certain commodity/chemical combinations which should assist in facilitation of trade for certain foods.</w:t>
            </w:r>
            <w:bookmarkStart w:id="36" w:name="sps11ebis"/>
            <w:bookmarkEnd w:id="36"/>
          </w:p>
        </w:tc>
      </w:tr>
      <w:tr w:rsidR="00A60E68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November 2017</w:t>
            </w:r>
            <w:bookmarkEnd w:id="38"/>
          </w:p>
          <w:p w:rsidR="00EA4725" w:rsidRPr="00441372" w:rsidRDefault="0077721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60E68" w:rsidRDefault="00777213" w:rsidP="00777213">
            <w:r>
              <w:t>Food Standards Australia New Zealand</w:t>
            </w:r>
          </w:p>
          <w:p w:rsidR="00A60E68" w:rsidRDefault="00777213" w:rsidP="00777213">
            <w:r>
              <w:t>PO Box 5423</w:t>
            </w:r>
          </w:p>
          <w:p w:rsidR="00A60E68" w:rsidRDefault="00777213" w:rsidP="00777213">
            <w:r>
              <w:t>KINGSTON ACT 2604</w:t>
            </w:r>
          </w:p>
          <w:p w:rsidR="00A60E68" w:rsidRDefault="00777213" w:rsidP="00777213">
            <w:r>
              <w:t>Australia</w:t>
            </w:r>
          </w:p>
          <w:p w:rsidR="00A60E68" w:rsidRDefault="00777213" w:rsidP="00777213">
            <w:r>
              <w:t>Fax: +(61 2) 6271 2278</w:t>
            </w:r>
          </w:p>
          <w:p w:rsidR="00A60E68" w:rsidRDefault="00777213">
            <w:pPr>
              <w:spacing w:after="120"/>
            </w:pPr>
            <w:r>
              <w:t>E-mail: standards.management@foodstandards.gov.au</w:t>
            </w:r>
            <w:bookmarkStart w:id="41" w:name="sps12d"/>
            <w:bookmarkEnd w:id="41"/>
          </w:p>
        </w:tc>
      </w:tr>
      <w:tr w:rsidR="00A60E68" w:rsidRPr="00777213" w:rsidTr="00441372">
        <w:tc>
          <w:tcPr>
            <w:tcW w:w="707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777213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60E68" w:rsidRDefault="00777213" w:rsidP="002C5028">
            <w:pPr>
              <w:spacing w:after="120"/>
            </w:pPr>
            <w:r>
              <w:t>Documents are available from the Australian Pesticides and Veterinary Medicines Authority website:</w:t>
            </w:r>
          </w:p>
          <w:p w:rsidR="00A60E68" w:rsidRDefault="00B674B3" w:rsidP="00777213">
            <w:pPr>
              <w:spacing w:after="120"/>
            </w:pPr>
            <w:hyperlink r:id="rId10" w:tgtFrame="_blank" w:history="1">
              <w:r w:rsidR="00777213">
                <w:rPr>
                  <w:color w:val="0000FF"/>
                  <w:u w:val="single"/>
                </w:rPr>
                <w:t>https://apvma.gov.au/sites/default/files/gazette/food-standards/gazette_2017090_-_page_58-64_a957592.pdf</w:t>
              </w:r>
            </w:hyperlink>
          </w:p>
          <w:p w:rsidR="00A60E68" w:rsidRDefault="00777213">
            <w:r>
              <w:t>The Australian SPS Notification Authority</w:t>
            </w:r>
          </w:p>
          <w:p w:rsidR="00A60E68" w:rsidRDefault="00777213">
            <w:r>
              <w:t>GPO Box 858</w:t>
            </w:r>
          </w:p>
          <w:p w:rsidR="00A60E68" w:rsidRPr="00777213" w:rsidRDefault="00777213">
            <w:pPr>
              <w:rPr>
                <w:lang w:val="es-ES"/>
              </w:rPr>
            </w:pPr>
            <w:r w:rsidRPr="00777213">
              <w:rPr>
                <w:lang w:val="es-ES"/>
              </w:rPr>
              <w:t xml:space="preserve">Canberra  </w:t>
            </w:r>
            <w:proofErr w:type="spellStart"/>
            <w:r w:rsidRPr="00777213">
              <w:rPr>
                <w:lang w:val="es-ES"/>
              </w:rPr>
              <w:t>ACT</w:t>
            </w:r>
            <w:proofErr w:type="spellEnd"/>
            <w:r w:rsidRPr="00777213">
              <w:rPr>
                <w:lang w:val="es-ES"/>
              </w:rPr>
              <w:t>  2601</w:t>
            </w:r>
          </w:p>
          <w:p w:rsidR="00A60E68" w:rsidRPr="00777213" w:rsidRDefault="00777213">
            <w:pPr>
              <w:rPr>
                <w:lang w:val="es-ES"/>
              </w:rPr>
            </w:pPr>
            <w:r w:rsidRPr="00777213">
              <w:rPr>
                <w:lang w:val="es-ES"/>
              </w:rPr>
              <w:t>Australia</w:t>
            </w:r>
          </w:p>
          <w:p w:rsidR="00A60E68" w:rsidRPr="00777213" w:rsidRDefault="00777213">
            <w:pPr>
              <w:rPr>
                <w:lang w:val="es-ES"/>
              </w:rPr>
            </w:pPr>
            <w:r w:rsidRPr="00777213">
              <w:rPr>
                <w:lang w:val="es-ES"/>
              </w:rPr>
              <w:t xml:space="preserve">Fax: </w:t>
            </w:r>
            <w:r>
              <w:rPr>
                <w:lang w:val="es-ES"/>
              </w:rPr>
              <w:t>+(61 2) 6272 3678</w:t>
            </w:r>
          </w:p>
          <w:p w:rsidR="00A60E68" w:rsidRPr="00777213" w:rsidRDefault="00777213" w:rsidP="00777213">
            <w:pPr>
              <w:spacing w:after="120"/>
              <w:rPr>
                <w:lang w:val="es-ES"/>
              </w:rPr>
            </w:pPr>
            <w:r w:rsidRPr="00777213">
              <w:rPr>
                <w:lang w:val="es-ES"/>
              </w:rPr>
              <w:t>E-mail: sps.contact@agriculture.gov.au</w:t>
            </w:r>
            <w:bookmarkStart w:id="44" w:name="sps13c"/>
            <w:bookmarkEnd w:id="44"/>
          </w:p>
        </w:tc>
      </w:tr>
    </w:tbl>
    <w:p w:rsidR="007141CF" w:rsidRPr="00777213" w:rsidRDefault="00B674B3" w:rsidP="00441372">
      <w:pPr>
        <w:rPr>
          <w:lang w:val="es-ES"/>
        </w:rPr>
      </w:pPr>
    </w:p>
    <w:sectPr w:rsidR="007141CF" w:rsidRPr="00777213" w:rsidSect="00777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D6" w:rsidRDefault="00777213">
      <w:r>
        <w:separator/>
      </w:r>
    </w:p>
  </w:endnote>
  <w:endnote w:type="continuationSeparator" w:id="0">
    <w:p w:rsidR="00147ED6" w:rsidRDefault="0077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77213" w:rsidRDefault="00777213" w:rsidP="0077721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77213" w:rsidRDefault="00777213" w:rsidP="0077721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7721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D6" w:rsidRDefault="00777213">
      <w:r>
        <w:separator/>
      </w:r>
    </w:p>
  </w:footnote>
  <w:footnote w:type="continuationSeparator" w:id="0">
    <w:p w:rsidR="00147ED6" w:rsidRDefault="0077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13" w:rsidRPr="00777213" w:rsidRDefault="00777213" w:rsidP="007772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213">
      <w:t>G/SPS/N/</w:t>
    </w:r>
    <w:proofErr w:type="spellStart"/>
    <w:r w:rsidRPr="00777213">
      <w:t>AUS</w:t>
    </w:r>
    <w:proofErr w:type="spellEnd"/>
    <w:r w:rsidRPr="00777213">
      <w:t>/434</w:t>
    </w:r>
  </w:p>
  <w:p w:rsidR="00777213" w:rsidRPr="00777213" w:rsidRDefault="00777213" w:rsidP="007772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7213" w:rsidRPr="00777213" w:rsidRDefault="00777213" w:rsidP="007772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213">
      <w:t xml:space="preserve">- </w:t>
    </w:r>
    <w:r w:rsidRPr="00777213">
      <w:fldChar w:fldCharType="begin"/>
    </w:r>
    <w:r w:rsidRPr="00777213">
      <w:instrText xml:space="preserve"> PAGE </w:instrText>
    </w:r>
    <w:r w:rsidRPr="00777213">
      <w:fldChar w:fldCharType="separate"/>
    </w:r>
    <w:r w:rsidR="00B674B3">
      <w:rPr>
        <w:noProof/>
      </w:rPr>
      <w:t>2</w:t>
    </w:r>
    <w:r w:rsidRPr="00777213">
      <w:fldChar w:fldCharType="end"/>
    </w:r>
    <w:r w:rsidRPr="00777213">
      <w:t xml:space="preserve"> -</w:t>
    </w:r>
  </w:p>
  <w:p w:rsidR="00EA4725" w:rsidRPr="00777213" w:rsidRDefault="00B674B3" w:rsidP="0077721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13" w:rsidRPr="00777213" w:rsidRDefault="00777213" w:rsidP="007772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213">
      <w:t>G/SPS/N/</w:t>
    </w:r>
    <w:proofErr w:type="spellStart"/>
    <w:r w:rsidRPr="00777213">
      <w:t>AUS</w:t>
    </w:r>
    <w:proofErr w:type="spellEnd"/>
    <w:r w:rsidRPr="00777213">
      <w:t>/434</w:t>
    </w:r>
  </w:p>
  <w:p w:rsidR="00777213" w:rsidRPr="00777213" w:rsidRDefault="00777213" w:rsidP="007772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7213" w:rsidRPr="00777213" w:rsidRDefault="00777213" w:rsidP="007772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7213">
      <w:t xml:space="preserve">- </w:t>
    </w:r>
    <w:r w:rsidRPr="00777213">
      <w:fldChar w:fldCharType="begin"/>
    </w:r>
    <w:r w:rsidRPr="00777213">
      <w:instrText xml:space="preserve"> PAGE </w:instrText>
    </w:r>
    <w:r w:rsidRPr="00777213">
      <w:fldChar w:fldCharType="separate"/>
    </w:r>
    <w:r>
      <w:rPr>
        <w:noProof/>
      </w:rPr>
      <w:t>3</w:t>
    </w:r>
    <w:r w:rsidRPr="00777213">
      <w:fldChar w:fldCharType="end"/>
    </w:r>
    <w:r w:rsidRPr="00777213">
      <w:t xml:space="preserve"> -</w:t>
    </w:r>
  </w:p>
  <w:p w:rsidR="00EA4725" w:rsidRPr="00777213" w:rsidRDefault="00B674B3" w:rsidP="0077721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0E6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74B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721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60E6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57FB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F2C3A0E" wp14:editId="6EBC008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674B3" w:rsidP="00422B6F">
          <w:pPr>
            <w:jc w:val="right"/>
            <w:rPr>
              <w:b/>
              <w:szCs w:val="16"/>
            </w:rPr>
          </w:pPr>
        </w:p>
      </w:tc>
    </w:tr>
    <w:tr w:rsidR="00A60E6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674B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77213" w:rsidRDefault="0077721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AUS</w:t>
          </w:r>
          <w:proofErr w:type="spellEnd"/>
          <w:r>
            <w:rPr>
              <w:b/>
              <w:szCs w:val="16"/>
            </w:rPr>
            <w:t>/434</w:t>
          </w:r>
        </w:p>
        <w:bookmarkEnd w:id="46"/>
        <w:p w:rsidR="00656ABC" w:rsidRPr="00EA4725" w:rsidRDefault="00B674B3" w:rsidP="00656ABC">
          <w:pPr>
            <w:jc w:val="right"/>
            <w:rPr>
              <w:b/>
              <w:szCs w:val="16"/>
            </w:rPr>
          </w:pPr>
        </w:p>
      </w:tc>
    </w:tr>
    <w:tr w:rsidR="00A60E6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74B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74B3" w:rsidP="00B674B3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13 September 2017</w:t>
          </w:r>
          <w:bookmarkStart w:id="49" w:name="_GoBack"/>
          <w:bookmarkEnd w:id="49"/>
        </w:p>
      </w:tc>
    </w:tr>
    <w:tr w:rsidR="00A60E6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7721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674B3">
            <w:rPr>
              <w:color w:val="FF0000"/>
              <w:szCs w:val="16"/>
            </w:rPr>
            <w:t>17-4846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7721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674B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674B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60E6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7721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7721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674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E92355"/>
    <w:multiLevelType w:val="hybridMultilevel"/>
    <w:tmpl w:val="5980EC5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D9D8CA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9A187E" w:tentative="1">
      <w:start w:val="1"/>
      <w:numFmt w:val="lowerLetter"/>
      <w:lvlText w:val="%2."/>
      <w:lvlJc w:val="left"/>
      <w:pPr>
        <w:ind w:left="1080" w:hanging="360"/>
      </w:pPr>
    </w:lvl>
    <w:lvl w:ilvl="2" w:tplc="FA6CBFCE" w:tentative="1">
      <w:start w:val="1"/>
      <w:numFmt w:val="lowerRoman"/>
      <w:lvlText w:val="%3."/>
      <w:lvlJc w:val="right"/>
      <w:pPr>
        <w:ind w:left="1800" w:hanging="180"/>
      </w:pPr>
    </w:lvl>
    <w:lvl w:ilvl="3" w:tplc="B330CC08" w:tentative="1">
      <w:start w:val="1"/>
      <w:numFmt w:val="decimal"/>
      <w:lvlText w:val="%4."/>
      <w:lvlJc w:val="left"/>
      <w:pPr>
        <w:ind w:left="2520" w:hanging="360"/>
      </w:pPr>
    </w:lvl>
    <w:lvl w:ilvl="4" w:tplc="E996DB04" w:tentative="1">
      <w:start w:val="1"/>
      <w:numFmt w:val="lowerLetter"/>
      <w:lvlText w:val="%5."/>
      <w:lvlJc w:val="left"/>
      <w:pPr>
        <w:ind w:left="3240" w:hanging="360"/>
      </w:pPr>
    </w:lvl>
    <w:lvl w:ilvl="5" w:tplc="DCF41A08" w:tentative="1">
      <w:start w:val="1"/>
      <w:numFmt w:val="lowerRoman"/>
      <w:lvlText w:val="%6."/>
      <w:lvlJc w:val="right"/>
      <w:pPr>
        <w:ind w:left="3960" w:hanging="180"/>
      </w:pPr>
    </w:lvl>
    <w:lvl w:ilvl="6" w:tplc="0DBEA864" w:tentative="1">
      <w:start w:val="1"/>
      <w:numFmt w:val="decimal"/>
      <w:lvlText w:val="%7."/>
      <w:lvlJc w:val="left"/>
      <w:pPr>
        <w:ind w:left="4680" w:hanging="360"/>
      </w:pPr>
    </w:lvl>
    <w:lvl w:ilvl="7" w:tplc="7812D23C" w:tentative="1">
      <w:start w:val="1"/>
      <w:numFmt w:val="lowerLetter"/>
      <w:lvlText w:val="%8."/>
      <w:lvlJc w:val="left"/>
      <w:pPr>
        <w:ind w:left="5400" w:hanging="360"/>
      </w:pPr>
    </w:lvl>
    <w:lvl w:ilvl="8" w:tplc="FE56B0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C74A26"/>
    <w:multiLevelType w:val="hybridMultilevel"/>
    <w:tmpl w:val="B440883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8"/>
    <w:rsid w:val="00147ED6"/>
    <w:rsid w:val="002C5028"/>
    <w:rsid w:val="00777213"/>
    <w:rsid w:val="00857FBE"/>
    <w:rsid w:val="00A60E68"/>
    <w:rsid w:val="00B6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sites/default/files/gazette/food-standards/gazette_2017090_-_page_58-64_a95759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vma.gov.au/sites/default/files/gazette/food-standards/gazette_2017090_-_page_58-64_a95759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F2015L0046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2017-09-13T10:44:00Z</cp:lastPrinted>
  <dcterms:created xsi:type="dcterms:W3CDTF">2017-09-12T13:45:00Z</dcterms:created>
  <dcterms:modified xsi:type="dcterms:W3CDTF">2017-09-13T12:39:00Z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G/SPS/N/AUS/434</vt:lpwstr>
  </property>
</Properties>
</file>