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922565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2002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Australia</w:t>
            </w:r>
            <w:bookmarkEnd w:id="0"/>
          </w:p>
          <w:p w:rsidR="00326D34" w:rsidRPr="004D1783" w:rsidRDefault="0092256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Australian Government Department of Agriculture and Water Resources</w:t>
            </w:r>
            <w:bookmarkStart w:id="2" w:name="sps2a"/>
            <w:bookmarkEnd w:id="2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Seeds for sowing of tomato (</w:t>
            </w:r>
            <w:r>
              <w:rPr>
                <w:i/>
                <w:iCs/>
              </w:rPr>
              <w:t>Solanum lycopersicum</w:t>
            </w:r>
            <w:r>
              <w:t>) and capsicum (</w:t>
            </w:r>
            <w:r>
              <w:rPr>
                <w:i/>
                <w:iCs/>
              </w:rPr>
              <w:t xml:space="preserve">Capsicum annuum </w:t>
            </w:r>
            <w:r>
              <w:t>species complex)</w:t>
            </w:r>
            <w:bookmarkStart w:id="3" w:name="sps3a"/>
            <w:bookmarkEnd w:id="3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92256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92256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Emergency measures for tomato and capsicum seeds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</w:t>
            </w:r>
            <w:bookmarkEnd w:id="10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Emergency phytosanitary measures for the importation of tomato and capsicum seeds are being introduced to mitigate the biosecurity risk posed by </w:t>
            </w:r>
            <w:r>
              <w:rPr>
                <w:i/>
                <w:iCs/>
              </w:rPr>
              <w:t>Tomato brown rugose fruit virus</w:t>
            </w:r>
            <w:r>
              <w:t xml:space="preserve"> (ToBRFV).</w:t>
            </w:r>
            <w:bookmarkStart w:id="11" w:name="sps6a"/>
            <w:bookmarkEnd w:id="11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 xml:space="preserve">] protect territory from other damage from pests. </w:t>
            </w:r>
            <w:bookmarkStart w:id="17" w:name="sps7f"/>
            <w:bookmarkEnd w:id="17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ToBRFV (</w:t>
            </w:r>
            <w:r>
              <w:rPr>
                <w:i/>
                <w:iCs/>
              </w:rPr>
              <w:t xml:space="preserve">Tobamovirus </w:t>
            </w:r>
            <w:r>
              <w:t>genus) is an emerging biosecurity risk with a rapidly expanding global distribution. This virus is known to naturally infect tomato and capsicum resulting in unmarketable fruit, and has plant disease resistance breaking capability.</w:t>
            </w:r>
          </w:p>
          <w:p w:rsidR="00720027" w:rsidRDefault="00922565">
            <w:pPr>
              <w:spacing w:after="120"/>
            </w:pPr>
            <w:r>
              <w:t>Australia's existing import conditions for the importation of tomato and capsicum seeds do not require specific risk mitigation measures against ToBRFV. Therefore, emergency measures will be introduced for tomato (</w:t>
            </w:r>
            <w:r>
              <w:rPr>
                <w:i/>
                <w:iCs/>
              </w:rPr>
              <w:t>Solanum lycopersicum</w:t>
            </w:r>
            <w:r>
              <w:t>) and capsicum (</w:t>
            </w:r>
            <w:r>
              <w:rPr>
                <w:i/>
                <w:iCs/>
              </w:rPr>
              <w:t>Capsicum annuum</w:t>
            </w:r>
            <w:r>
              <w:t xml:space="preserve"> species complex).</w:t>
            </w:r>
          </w:p>
          <w:p w:rsidR="00720027" w:rsidRDefault="00922565">
            <w:pPr>
              <w:spacing w:after="120"/>
            </w:pPr>
            <w:r>
              <w:t>To be least trade restrictive, the emergency measures will be implemented in three phases.</w:t>
            </w:r>
          </w:p>
          <w:p w:rsidR="00720027" w:rsidRDefault="00922565">
            <w:pPr>
              <w:spacing w:after="120"/>
            </w:pPr>
            <w:r>
              <w:t>Consignments shipped from an exporting country before midnight preceding 5</w:t>
            </w:r>
            <w:r w:rsidR="007348CF">
              <w:t> </w:t>
            </w:r>
            <w:r>
              <w:t>March</w:t>
            </w:r>
            <w:r w:rsidR="007348CF">
              <w:t> </w:t>
            </w:r>
            <w:r>
              <w:t>2019 will be permitted entry into Australia under existing arrangements (no additional measures).</w:t>
            </w:r>
          </w:p>
          <w:p w:rsidR="00720027" w:rsidRDefault="00922565">
            <w:pPr>
              <w:spacing w:after="120"/>
            </w:pPr>
            <w:r>
              <w:t>Phase 1: Consignments that are shipped between 5 March 2019 and midnight preceding 31 March 2019 must be tested with a sample size of 3,000 seeds (or 20 per cent for small seed lots) using the existing commercial seed test protocol (ISTA 7-028) and found free of ToBRFV. The test may be conducted off-shore or on-shore.</w:t>
            </w:r>
          </w:p>
          <w:p w:rsidR="00720027" w:rsidRDefault="00922565" w:rsidP="00077AE5">
            <w:pPr>
              <w:spacing w:before="240" w:after="120"/>
            </w:pPr>
            <w:r>
              <w:lastRenderedPageBreak/>
              <w:t>Phase 1 conditions expire at midnight preceding 31 March 2019 and will be replaced by Phase 2 conditions. However, Phase 2 or Phase 3 conditions can be ad</w:t>
            </w:r>
            <w:r w:rsidR="00077AE5">
              <w:t>opted before Phase </w:t>
            </w:r>
            <w:r>
              <w:t>1 expires.</w:t>
            </w:r>
          </w:p>
          <w:p w:rsidR="00720027" w:rsidRDefault="00922565">
            <w:pPr>
              <w:spacing w:after="120"/>
            </w:pPr>
            <w:r>
              <w:t>Phase 2: Consignments that are shipped after midnight preceding 31 March 2019 must be tested by enzyme-linked immunosorbent assay (ELIS</w:t>
            </w:r>
            <w:r w:rsidR="00077AE5">
              <w:t>A) with a sample size of 20,000 </w:t>
            </w:r>
            <w:r>
              <w:t>seeds (or 20 per cent for small seed lots) using an existing commercially available kit (AGDIA-TMV OR Prime Diagnostics-ToMV) and found free of ToBRFV</w:t>
            </w:r>
            <w:r>
              <w:rPr>
                <w:i/>
                <w:iCs/>
              </w:rPr>
              <w:t>.</w:t>
            </w:r>
            <w:r>
              <w:t xml:space="preserve"> The ELISA test may be conducted off-shore or on-shore. Other ELISA kits will be considered on a case-by-case basis.</w:t>
            </w:r>
          </w:p>
          <w:p w:rsidR="00720027" w:rsidRDefault="00922565">
            <w:pPr>
              <w:spacing w:after="120"/>
            </w:pPr>
            <w:r>
              <w:t>Phase 2 conditions will expire when an agreed polymerase chain reaction (PCR) testing protocol(s) is/are developed and will be replaced by Phase 3 conditions.</w:t>
            </w:r>
          </w:p>
          <w:p w:rsidR="00720027" w:rsidRDefault="00922565">
            <w:pPr>
              <w:spacing w:after="120"/>
            </w:pPr>
            <w:r>
              <w:t>Phase 3: A PCR testing protocol for ToBRFV is under development, which will replace the ELISA test when it is ready. The PCR test may be conduct</w:t>
            </w:r>
            <w:r w:rsidR="00077AE5">
              <w:t>ed off-shore or on-shore. An </w:t>
            </w:r>
            <w:r>
              <w:t>Australian Biosecurity Import Conditions (BICON) alert will be published when the PCR test is implemented.</w:t>
            </w:r>
          </w:p>
          <w:p w:rsidR="00720027" w:rsidRDefault="00922565">
            <w:pPr>
              <w:spacing w:after="120"/>
            </w:pPr>
            <w:r>
              <w:t>Phytosanitary certification requirements:</w:t>
            </w:r>
          </w:p>
          <w:p w:rsidR="00720027" w:rsidRDefault="00922565">
            <w:pPr>
              <w:spacing w:after="120"/>
            </w:pPr>
            <w:r>
              <w:t>Seed lots of tomato (</w:t>
            </w:r>
            <w:r>
              <w:rPr>
                <w:i/>
                <w:iCs/>
              </w:rPr>
              <w:t>Solanum lycopersicum</w:t>
            </w:r>
            <w:r>
              <w:t>) and capsicum (</w:t>
            </w:r>
            <w:r>
              <w:rPr>
                <w:i/>
                <w:iCs/>
              </w:rPr>
              <w:t>Capsicum annuum</w:t>
            </w:r>
            <w:r>
              <w:t xml:space="preserve"> species complex) that are tested off-shore must be accompanied by an official government Phytosanitary Certificate endorsed with the following additional declaration:</w:t>
            </w:r>
          </w:p>
          <w:p w:rsidR="00720027" w:rsidRDefault="00922565">
            <w:pPr>
              <w:spacing w:after="120"/>
            </w:pPr>
            <w:r>
              <w:t>Phase 1 (interim):</w:t>
            </w:r>
          </w:p>
          <w:p w:rsidR="00720027" w:rsidRDefault="00077AE5">
            <w:pPr>
              <w:spacing w:after="120"/>
            </w:pPr>
            <w:r>
              <w:t>'</w:t>
            </w:r>
            <w:r w:rsidR="00922565">
              <w:t>The consignment of [</w:t>
            </w:r>
            <w:r w:rsidR="00922565">
              <w:rPr>
                <w:i/>
                <w:iCs/>
              </w:rPr>
              <w:t>botanical name</w:t>
            </w:r>
            <w:r w:rsidR="00922565">
              <w:t xml:space="preserve"> </w:t>
            </w:r>
            <w:r w:rsidR="00922565">
              <w:rPr>
                <w:i/>
                <w:iCs/>
              </w:rPr>
              <w:t>(s)</w:t>
            </w:r>
            <w:r w:rsidR="00922565">
              <w:t xml:space="preserve"> (</w:t>
            </w:r>
            <w:r w:rsidR="00922565">
              <w:rPr>
                <w:i/>
                <w:iCs/>
              </w:rPr>
              <w:t>Genus species</w:t>
            </w:r>
            <w:r w:rsidR="00922565">
              <w:t>)] comprises [</w:t>
            </w:r>
            <w:r w:rsidR="00922565">
              <w:rPr>
                <w:i/>
                <w:iCs/>
              </w:rPr>
              <w:t>insert number of tomato/capsicum seed lots</w:t>
            </w:r>
            <w:r w:rsidR="00922565">
              <w:t>] seed lot(s); for each seed lot, seeds were tested by ISTA 7-028 [</w:t>
            </w:r>
            <w:r w:rsidR="00922565">
              <w:rPr>
                <w:i/>
                <w:iCs/>
              </w:rPr>
              <w:t>insert laboratory name(s) and report number(s)</w:t>
            </w:r>
            <w:r w:rsidR="00922565">
              <w:t xml:space="preserve">] on a sample size of 3,000 seeds (or 20 per cent of small seed lots) and found free from </w:t>
            </w:r>
            <w:r w:rsidR="00922565">
              <w:rPr>
                <w:i/>
                <w:iCs/>
              </w:rPr>
              <w:t xml:space="preserve">Tomato brown rugose fruit virus </w:t>
            </w:r>
            <w:r>
              <w:t>(ToBRFV)</w:t>
            </w:r>
            <w:r w:rsidR="00922565">
              <w:t>.</w:t>
            </w:r>
            <w:r>
              <w:t>'</w:t>
            </w:r>
          </w:p>
          <w:p w:rsidR="00720027" w:rsidRDefault="00922565">
            <w:pPr>
              <w:spacing w:after="120"/>
            </w:pPr>
            <w:r>
              <w:t>Phase 2 (interim):</w:t>
            </w:r>
          </w:p>
          <w:p w:rsidR="00720027" w:rsidRDefault="00077AE5">
            <w:pPr>
              <w:spacing w:after="120"/>
            </w:pPr>
            <w:r>
              <w:t>'</w:t>
            </w:r>
            <w:r w:rsidR="00922565">
              <w:t>The consignment of [</w:t>
            </w:r>
            <w:r w:rsidR="00922565">
              <w:rPr>
                <w:i/>
                <w:iCs/>
              </w:rPr>
              <w:t>botanical name</w:t>
            </w:r>
            <w:r w:rsidR="00922565">
              <w:t xml:space="preserve"> </w:t>
            </w:r>
            <w:r w:rsidR="00922565">
              <w:rPr>
                <w:i/>
                <w:iCs/>
              </w:rPr>
              <w:t>(s)</w:t>
            </w:r>
            <w:r w:rsidR="00922565">
              <w:t xml:space="preserve"> (</w:t>
            </w:r>
            <w:r w:rsidR="00922565">
              <w:rPr>
                <w:i/>
                <w:iCs/>
              </w:rPr>
              <w:t>Genus species</w:t>
            </w:r>
            <w:r w:rsidR="00922565">
              <w:t>)] comprises [</w:t>
            </w:r>
            <w:r w:rsidR="00922565">
              <w:rPr>
                <w:i/>
                <w:iCs/>
              </w:rPr>
              <w:t>insert number of tomato/capsicum seed lots</w:t>
            </w:r>
            <w:r w:rsidR="00922565">
              <w:t>] seed lot(s); for each seed lot, seeds were tested by ELISA [</w:t>
            </w:r>
            <w:r w:rsidR="00922565">
              <w:rPr>
                <w:i/>
                <w:iCs/>
              </w:rPr>
              <w:t>insert laboratory name(s) and report number(s)</w:t>
            </w:r>
            <w:r w:rsidR="00922565">
              <w:t xml:space="preserve">] on a sample size of 20,000 seeds (or 20 per cent of small seed lots) and found free from </w:t>
            </w:r>
            <w:r w:rsidR="00922565">
              <w:rPr>
                <w:i/>
                <w:iCs/>
              </w:rPr>
              <w:t xml:space="preserve">Tomato brown rugose fruit virus </w:t>
            </w:r>
            <w:r>
              <w:t>(ToBRFV)</w:t>
            </w:r>
            <w:r w:rsidR="00922565">
              <w:t>.</w:t>
            </w:r>
            <w:r>
              <w:t>'</w:t>
            </w:r>
          </w:p>
          <w:p w:rsidR="00720027" w:rsidRDefault="00922565">
            <w:pPr>
              <w:spacing w:after="120"/>
            </w:pPr>
            <w:r>
              <w:t>Phase 3 (ongoing):</w:t>
            </w:r>
          </w:p>
          <w:p w:rsidR="00720027" w:rsidRDefault="00077AE5">
            <w:pPr>
              <w:spacing w:after="120"/>
            </w:pPr>
            <w:r>
              <w:t>'</w:t>
            </w:r>
            <w:r w:rsidR="00922565">
              <w:t>The consignment of [</w:t>
            </w:r>
            <w:r w:rsidR="00922565">
              <w:rPr>
                <w:i/>
                <w:iCs/>
              </w:rPr>
              <w:t>botanical name</w:t>
            </w:r>
            <w:r w:rsidR="00922565">
              <w:t xml:space="preserve"> </w:t>
            </w:r>
            <w:r w:rsidR="00922565">
              <w:rPr>
                <w:i/>
                <w:iCs/>
              </w:rPr>
              <w:t>(s)</w:t>
            </w:r>
            <w:r w:rsidR="00922565">
              <w:t xml:space="preserve"> (</w:t>
            </w:r>
            <w:r w:rsidR="00922565">
              <w:rPr>
                <w:i/>
                <w:iCs/>
              </w:rPr>
              <w:t>Genus species</w:t>
            </w:r>
            <w:r w:rsidR="00922565">
              <w:t>)] comprises [</w:t>
            </w:r>
            <w:r w:rsidR="00922565">
              <w:rPr>
                <w:i/>
                <w:iCs/>
              </w:rPr>
              <w:t>insert number of tomato/capsicum seed lots</w:t>
            </w:r>
            <w:r w:rsidR="00922565">
              <w:t>] seed lot(s); for each seed lot, seeds were tested by PCR [</w:t>
            </w:r>
            <w:r w:rsidR="00922565">
              <w:rPr>
                <w:i/>
                <w:iCs/>
              </w:rPr>
              <w:t>insert laboratory name(s) and report number(s)</w:t>
            </w:r>
            <w:r w:rsidR="00922565">
              <w:t xml:space="preserve">] on a sample size of 20,000 seeds (or 20 per cent of small seed lots) and found free from </w:t>
            </w:r>
            <w:r w:rsidR="00922565">
              <w:rPr>
                <w:i/>
                <w:iCs/>
              </w:rPr>
              <w:t xml:space="preserve">Tomato brown rugose fruit virus </w:t>
            </w:r>
            <w:r w:rsidR="00922565">
              <w:t>(ToBRFV).</w:t>
            </w:r>
            <w:r>
              <w:t>'</w:t>
            </w:r>
          </w:p>
          <w:p w:rsidR="00720027" w:rsidRDefault="00922565">
            <w:pPr>
              <w:spacing w:after="120"/>
            </w:pPr>
            <w:r>
              <w:t>Optional (for each phase): For consignments that do not have the specific additional phytosanitary declarations but have laboratory testing reports.</w:t>
            </w:r>
          </w:p>
          <w:p w:rsidR="00720027" w:rsidRDefault="00922565">
            <w:pPr>
              <w:spacing w:after="120"/>
            </w:pPr>
            <w:r>
              <w:t>The consignment must be accompanied by a Phytosanitary Certificate that links to, and is accompanied by, a laboratory report. The botanical name and lot number(s) must be presented on the Phytosanitary Certificate. The laboratory report must state:</w:t>
            </w:r>
          </w:p>
          <w:p w:rsidR="00720027" w:rsidRDefault="00922565">
            <w:pPr>
              <w:spacing w:after="120"/>
            </w:pPr>
            <w:r>
              <w:t>the seed species tested that a minimum seed sample was tested as required in each phase the test result confirming freedom from ToBRFV the lot/batch number(s), and these numbers must match the Phytosanitary certificate the date, the laboratory name and address. Australia will notify WTO Members once a risk assessment has been developed and released for stakeholder comment.</w:t>
            </w:r>
            <w:bookmarkStart w:id="18" w:name="sps8a"/>
            <w:bookmarkEnd w:id="18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7348CF">
            <w:pPr>
              <w:keepNext/>
              <w:keepLines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7348CF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922565" w:rsidP="007348CF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922565" w:rsidP="007348CF">
            <w:pPr>
              <w:keepNext/>
              <w:keepLines/>
              <w:spacing w:before="240"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btext"/>
            <w:bookmarkEnd w:id="22"/>
          </w:p>
          <w:p w:rsidR="00326D34" w:rsidRPr="004D1783" w:rsidRDefault="00922565" w:rsidP="007348CF">
            <w:pPr>
              <w:keepNext/>
              <w:keepLines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IPPC Article 7 and IPSM 1</w:t>
            </w:r>
            <w:bookmarkStart w:id="24" w:name="sps9ctext"/>
            <w:bookmarkEnd w:id="24"/>
          </w:p>
          <w:p w:rsidR="00326D34" w:rsidRPr="004D1783" w:rsidRDefault="00922565" w:rsidP="007348CF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922565" w:rsidP="007348CF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922565" w:rsidP="007348CF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922565" w:rsidP="007348CF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72002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 xml:space="preserve">)/period of application (as applicable): </w:t>
            </w:r>
            <w:r>
              <w:t>5 March 2019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92256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20027" w:rsidRPr="007348C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92256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720027" w:rsidRDefault="00922565">
            <w:r>
              <w:t>The Australian SPS Contact Point</w:t>
            </w:r>
          </w:p>
          <w:p w:rsidR="00720027" w:rsidRDefault="00922565">
            <w:r>
              <w:t>GPO Box 858</w:t>
            </w:r>
          </w:p>
          <w:p w:rsidR="00720027" w:rsidRPr="002565B4" w:rsidRDefault="00922565">
            <w:pPr>
              <w:rPr>
                <w:lang w:val="es-ES"/>
              </w:rPr>
            </w:pPr>
            <w:r w:rsidRPr="002565B4">
              <w:rPr>
                <w:lang w:val="es-ES"/>
              </w:rPr>
              <w:t>Canberra ACT 2601</w:t>
            </w:r>
          </w:p>
          <w:p w:rsidR="00720027" w:rsidRPr="002565B4" w:rsidRDefault="00922565">
            <w:pPr>
              <w:rPr>
                <w:lang w:val="es-ES"/>
              </w:rPr>
            </w:pPr>
            <w:r w:rsidRPr="002565B4">
              <w:rPr>
                <w:lang w:val="es-ES"/>
              </w:rPr>
              <w:t>Australia</w:t>
            </w:r>
          </w:p>
          <w:p w:rsidR="00720027" w:rsidRPr="002565B4" w:rsidRDefault="00922565">
            <w:pPr>
              <w:spacing w:after="120"/>
              <w:rPr>
                <w:lang w:val="es-ES"/>
              </w:rPr>
            </w:pPr>
            <w:r w:rsidRPr="002565B4">
              <w:rPr>
                <w:lang w:val="es-ES"/>
              </w:rPr>
              <w:t>E-mail: sps.contact@agriculture.gov.au</w:t>
            </w:r>
            <w:bookmarkStart w:id="39" w:name="sps12c"/>
            <w:bookmarkEnd w:id="39"/>
          </w:p>
        </w:tc>
      </w:tr>
      <w:tr w:rsidR="00720027" w:rsidRPr="007348C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2256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92256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720027" w:rsidRDefault="00922565">
            <w:r>
              <w:t>The Australian SPS Contact Point</w:t>
            </w:r>
          </w:p>
          <w:p w:rsidR="00720027" w:rsidRDefault="00922565">
            <w:r>
              <w:t>GPO Box 858</w:t>
            </w:r>
          </w:p>
          <w:p w:rsidR="00720027" w:rsidRPr="002565B4" w:rsidRDefault="00922565">
            <w:pPr>
              <w:rPr>
                <w:lang w:val="es-ES"/>
              </w:rPr>
            </w:pPr>
            <w:r w:rsidRPr="002565B4">
              <w:rPr>
                <w:lang w:val="es-ES"/>
              </w:rPr>
              <w:t>Canberra ACT 2601</w:t>
            </w:r>
          </w:p>
          <w:p w:rsidR="00720027" w:rsidRPr="002565B4" w:rsidRDefault="00922565">
            <w:pPr>
              <w:rPr>
                <w:lang w:val="es-ES"/>
              </w:rPr>
            </w:pPr>
            <w:r w:rsidRPr="002565B4">
              <w:rPr>
                <w:lang w:val="es-ES"/>
              </w:rPr>
              <w:t>Australia</w:t>
            </w:r>
          </w:p>
          <w:p w:rsidR="00720027" w:rsidRPr="002565B4" w:rsidRDefault="00922565">
            <w:pPr>
              <w:spacing w:after="120"/>
              <w:rPr>
                <w:lang w:val="es-ES"/>
              </w:rPr>
            </w:pPr>
            <w:r w:rsidRPr="002565B4">
              <w:rPr>
                <w:lang w:val="es-ES"/>
              </w:rPr>
              <w:t>E-mail: sps.contact@agriculture.gov.au</w:t>
            </w:r>
            <w:bookmarkStart w:id="42" w:name="sps13c"/>
            <w:bookmarkEnd w:id="42"/>
          </w:p>
        </w:tc>
      </w:tr>
    </w:tbl>
    <w:p w:rsidR="007141CF" w:rsidRPr="002565B4" w:rsidRDefault="002272BC" w:rsidP="004D1783">
      <w:pPr>
        <w:rPr>
          <w:lang w:val="es-ES"/>
        </w:rPr>
      </w:pPr>
    </w:p>
    <w:sectPr w:rsidR="007141CF" w:rsidRPr="002565B4" w:rsidSect="00256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9C" w:rsidRDefault="00922565">
      <w:r>
        <w:separator/>
      </w:r>
    </w:p>
  </w:endnote>
  <w:endnote w:type="continuationSeparator" w:id="0">
    <w:p w:rsidR="00D13D9C" w:rsidRDefault="0092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2565B4" w:rsidRDefault="002565B4" w:rsidP="002565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2565B4" w:rsidRDefault="002565B4" w:rsidP="002565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922565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9C" w:rsidRDefault="00922565">
      <w:r>
        <w:separator/>
      </w:r>
    </w:p>
  </w:footnote>
  <w:footnote w:type="continuationSeparator" w:id="0">
    <w:p w:rsidR="00D13D9C" w:rsidRDefault="0092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5B4">
      <w:t>G/SPS/N/AUS/469</w:t>
    </w:r>
  </w:p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5B4">
      <w:t xml:space="preserve">- </w:t>
    </w:r>
    <w:r w:rsidRPr="002565B4">
      <w:fldChar w:fldCharType="begin"/>
    </w:r>
    <w:r w:rsidRPr="002565B4">
      <w:instrText xml:space="preserve"> PAGE </w:instrText>
    </w:r>
    <w:r w:rsidRPr="002565B4">
      <w:fldChar w:fldCharType="separate"/>
    </w:r>
    <w:r w:rsidR="002272BC">
      <w:rPr>
        <w:noProof/>
      </w:rPr>
      <w:t>2</w:t>
    </w:r>
    <w:r w:rsidRPr="002565B4">
      <w:fldChar w:fldCharType="end"/>
    </w:r>
    <w:r w:rsidRPr="002565B4">
      <w:t xml:space="preserve"> -</w:t>
    </w:r>
  </w:p>
  <w:p w:rsidR="00326D34" w:rsidRPr="002565B4" w:rsidRDefault="002272BC" w:rsidP="002565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5B4">
      <w:t>G/SPS/N/AUS/469</w:t>
    </w:r>
  </w:p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565B4" w:rsidRPr="002565B4" w:rsidRDefault="002565B4" w:rsidP="002565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5B4">
      <w:t xml:space="preserve">- </w:t>
    </w:r>
    <w:r w:rsidRPr="002565B4">
      <w:fldChar w:fldCharType="begin"/>
    </w:r>
    <w:r w:rsidRPr="002565B4">
      <w:instrText xml:space="preserve"> PAGE </w:instrText>
    </w:r>
    <w:r w:rsidRPr="002565B4">
      <w:fldChar w:fldCharType="separate"/>
    </w:r>
    <w:r w:rsidR="002272BC">
      <w:rPr>
        <w:noProof/>
      </w:rPr>
      <w:t>3</w:t>
    </w:r>
    <w:r w:rsidRPr="002565B4">
      <w:fldChar w:fldCharType="end"/>
    </w:r>
    <w:r w:rsidRPr="002565B4">
      <w:t xml:space="preserve"> -</w:t>
    </w:r>
  </w:p>
  <w:p w:rsidR="00326D34" w:rsidRPr="002565B4" w:rsidRDefault="002272BC" w:rsidP="002565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002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272BC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565B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72002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2565B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2272BC" w:rsidP="00545F9C">
          <w:pPr>
            <w:jc w:val="right"/>
            <w:rPr>
              <w:b/>
              <w:szCs w:val="16"/>
            </w:rPr>
          </w:pPr>
        </w:p>
      </w:tc>
    </w:tr>
    <w:tr w:rsidR="0072002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2272BC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565B4" w:rsidRDefault="002565B4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G/SPS/N/AUS/469</w:t>
          </w:r>
        </w:p>
        <w:bookmarkEnd w:id="44"/>
        <w:p w:rsidR="00ED54E0" w:rsidRPr="004D1783" w:rsidRDefault="002272BC" w:rsidP="00043762">
          <w:pPr>
            <w:jc w:val="right"/>
            <w:rPr>
              <w:b/>
              <w:szCs w:val="16"/>
            </w:rPr>
          </w:pPr>
        </w:p>
      </w:tc>
    </w:tr>
    <w:tr w:rsidR="0072002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272BC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272BC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28 February 2019</w:t>
          </w:r>
          <w:bookmarkStart w:id="47" w:name="_GoBack"/>
          <w:bookmarkEnd w:id="47"/>
        </w:p>
      </w:tc>
    </w:tr>
    <w:tr w:rsidR="0072002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2256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272BC">
            <w:rPr>
              <w:color w:val="FF0000"/>
              <w:szCs w:val="16"/>
            </w:rPr>
            <w:t>19-1156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92256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272BC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2272BC">
            <w:rPr>
              <w:bCs/>
              <w:noProof/>
              <w:szCs w:val="16"/>
            </w:rPr>
            <w:t>3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72002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2565B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2565B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2272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1236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C41454" w:tentative="1">
      <w:start w:val="1"/>
      <w:numFmt w:val="lowerLetter"/>
      <w:lvlText w:val="%2."/>
      <w:lvlJc w:val="left"/>
      <w:pPr>
        <w:ind w:left="1080" w:hanging="360"/>
      </w:pPr>
    </w:lvl>
    <w:lvl w:ilvl="2" w:tplc="3D369E14" w:tentative="1">
      <w:start w:val="1"/>
      <w:numFmt w:val="lowerRoman"/>
      <w:lvlText w:val="%3."/>
      <w:lvlJc w:val="right"/>
      <w:pPr>
        <w:ind w:left="1800" w:hanging="180"/>
      </w:pPr>
    </w:lvl>
    <w:lvl w:ilvl="3" w:tplc="CB04D976" w:tentative="1">
      <w:start w:val="1"/>
      <w:numFmt w:val="decimal"/>
      <w:lvlText w:val="%4."/>
      <w:lvlJc w:val="left"/>
      <w:pPr>
        <w:ind w:left="2520" w:hanging="360"/>
      </w:pPr>
    </w:lvl>
    <w:lvl w:ilvl="4" w:tplc="3CF27200" w:tentative="1">
      <w:start w:val="1"/>
      <w:numFmt w:val="lowerLetter"/>
      <w:lvlText w:val="%5."/>
      <w:lvlJc w:val="left"/>
      <w:pPr>
        <w:ind w:left="3240" w:hanging="360"/>
      </w:pPr>
    </w:lvl>
    <w:lvl w:ilvl="5" w:tplc="D4CAF838" w:tentative="1">
      <w:start w:val="1"/>
      <w:numFmt w:val="lowerRoman"/>
      <w:lvlText w:val="%6."/>
      <w:lvlJc w:val="right"/>
      <w:pPr>
        <w:ind w:left="3960" w:hanging="180"/>
      </w:pPr>
    </w:lvl>
    <w:lvl w:ilvl="6" w:tplc="44EC9752" w:tentative="1">
      <w:start w:val="1"/>
      <w:numFmt w:val="decimal"/>
      <w:lvlText w:val="%7."/>
      <w:lvlJc w:val="left"/>
      <w:pPr>
        <w:ind w:left="4680" w:hanging="360"/>
      </w:pPr>
    </w:lvl>
    <w:lvl w:ilvl="7" w:tplc="A8A44B76" w:tentative="1">
      <w:start w:val="1"/>
      <w:numFmt w:val="lowerLetter"/>
      <w:lvlText w:val="%8."/>
      <w:lvlJc w:val="left"/>
      <w:pPr>
        <w:ind w:left="5400" w:hanging="360"/>
      </w:pPr>
    </w:lvl>
    <w:lvl w:ilvl="8" w:tplc="421CA4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27"/>
    <w:rsid w:val="00077AE5"/>
    <w:rsid w:val="002272BC"/>
    <w:rsid w:val="002565B4"/>
    <w:rsid w:val="00720027"/>
    <w:rsid w:val="007348CF"/>
    <w:rsid w:val="00922565"/>
    <w:rsid w:val="00D13D9C"/>
    <w:rsid w:val="00E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BE12C2"/>
  <w15:docId w15:val="{17DF33D7-05B3-4621-882D-D750316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7</cp:revision>
  <dcterms:created xsi:type="dcterms:W3CDTF">2019-02-28T14:10:00Z</dcterms:created>
  <dcterms:modified xsi:type="dcterms:W3CDTF">2019-02-28T14:46:00Z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G/SPS/N/AUS/469</vt:lpwstr>
  </property>
</Properties>
</file>