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F34438"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77C90" w:rsidTr="00B056CB">
        <w:tc>
          <w:tcPr>
            <w:tcW w:w="707" w:type="dxa"/>
            <w:tcBorders>
              <w:bottom w:val="single" w:sz="6" w:space="0" w:color="auto"/>
            </w:tcBorders>
            <w:shd w:val="clear" w:color="auto" w:fill="auto"/>
          </w:tcPr>
          <w:p w:rsidR="00326D34" w:rsidRPr="004D1783" w:rsidRDefault="00F34438"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34438" w:rsidP="004D1783">
            <w:pPr>
              <w:spacing w:before="120" w:after="120"/>
            </w:pPr>
            <w:r w:rsidRPr="004D1783">
              <w:rPr>
                <w:b/>
              </w:rPr>
              <w:t>Notifying Member:</w:t>
            </w:r>
            <w:r w:rsidRPr="004D1783">
              <w:t xml:space="preserve"> </w:t>
            </w:r>
            <w:bookmarkStart w:id="0" w:name="sps1a"/>
            <w:r w:rsidRPr="00EF5749">
              <w:rPr>
                <w:caps/>
                <w:u w:val="single"/>
              </w:rPr>
              <w:t>Canada</w:t>
            </w:r>
            <w:bookmarkEnd w:id="0"/>
          </w:p>
          <w:p w:rsidR="00326D34" w:rsidRPr="004D1783" w:rsidRDefault="00F34438" w:rsidP="004D1783">
            <w:pPr>
              <w:spacing w:after="120"/>
            </w:pPr>
            <w:r w:rsidRPr="004D1783">
              <w:rPr>
                <w:b/>
              </w:rPr>
              <w:t>If applicable, name of local government involved:</w:t>
            </w:r>
            <w:r w:rsidRPr="004D1783">
              <w:t xml:space="preserve"> </w:t>
            </w:r>
            <w:bookmarkStart w:id="1" w:name="sps1b"/>
            <w:bookmarkEnd w:id="1"/>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34438" w:rsidP="004D1783">
            <w:pPr>
              <w:spacing w:before="120" w:after="120"/>
            </w:pPr>
            <w:r w:rsidRPr="004D1783">
              <w:rPr>
                <w:b/>
              </w:rPr>
              <w:t>Agency responsible:</w:t>
            </w:r>
            <w:r w:rsidRPr="004D1783">
              <w:t xml:space="preserve"> </w:t>
            </w:r>
            <w:r>
              <w:t>Canadian Food Inspection Agency (</w:t>
            </w:r>
            <w:proofErr w:type="spellStart"/>
            <w:r>
              <w:t>CFIA</w:t>
            </w:r>
            <w:proofErr w:type="spellEnd"/>
            <w:r>
              <w:t xml:space="preserve">) </w:t>
            </w:r>
            <w:bookmarkStart w:id="2" w:name="sps2a"/>
            <w:bookmarkEnd w:id="2"/>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34438"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Raw/unprocessed grains and their associated meals. Implicated HS</w:t>
            </w:r>
            <w:r w:rsidR="000F6BBD">
              <w:t> </w:t>
            </w:r>
            <w:r>
              <w:t>codes:</w:t>
            </w:r>
          </w:p>
          <w:p w:rsidR="00877C90" w:rsidRDefault="00F34438" w:rsidP="00F34438">
            <w:r>
              <w:t>Chapter 10</w:t>
            </w:r>
          </w:p>
          <w:p w:rsidR="00877C90" w:rsidRDefault="00F34438">
            <w:pPr>
              <w:spacing w:after="120"/>
            </w:pPr>
            <w:r>
              <w:t xml:space="preserve">10 01 19 Durum wheat: Other; 10 01 99 Wheat and </w:t>
            </w:r>
            <w:proofErr w:type="spellStart"/>
            <w:r>
              <w:t>meslin</w:t>
            </w:r>
            <w:proofErr w:type="spellEnd"/>
            <w:r>
              <w:t>: Other ;10 02 90 Rye: Other; 10 03 90 Barley: Other; 10 04 90 Oats: Other; 10 05 90 Maize (corn): Other; 10 06 10 Rice in the husk (paddy or rough); 10 07 90 Grain sorghum: Other; 10 08 10 Buckwheat; 10 08 60 Triticale</w:t>
            </w:r>
          </w:p>
          <w:p w:rsidR="00877C90" w:rsidRDefault="00F34438" w:rsidP="00F34438">
            <w:r>
              <w:t>Chapter 11</w:t>
            </w:r>
          </w:p>
          <w:p w:rsidR="00877C90" w:rsidRDefault="00F34438">
            <w:pPr>
              <w:spacing w:after="120"/>
            </w:pPr>
            <w:r>
              <w:t>All commodities</w:t>
            </w:r>
          </w:p>
          <w:p w:rsidR="00877C90" w:rsidRDefault="00F34438" w:rsidP="00F34438">
            <w:r>
              <w:t>Chapter 12</w:t>
            </w:r>
          </w:p>
          <w:p w:rsidR="00877C90" w:rsidRDefault="00F34438">
            <w:pPr>
              <w:spacing w:after="120"/>
            </w:pPr>
            <w:r>
              <w:t xml:space="preserve">12 01 90 Soya beans, </w:t>
            </w:r>
            <w:proofErr w:type="gramStart"/>
            <w:r>
              <w:t>whether or not</w:t>
            </w:r>
            <w:proofErr w:type="gramEnd"/>
            <w:r>
              <w:t xml:space="preserve"> broken: Other; 12 04 00 Linseed, whether or not broken; 12 05 10 Low erucic acid rape or colza seeds; 12 05 90 Other;</w:t>
            </w:r>
            <w:r w:rsidR="00116022">
              <w:t xml:space="preserve"> </w:t>
            </w:r>
            <w:r>
              <w:t>12 06 00 Sunflower seeds;</w:t>
            </w:r>
            <w:r w:rsidR="00116022">
              <w:t xml:space="preserve"> </w:t>
            </w:r>
            <w:r>
              <w:t>12 07 60 Safflower (</w:t>
            </w:r>
            <w:proofErr w:type="spellStart"/>
            <w:r w:rsidRPr="0077669B">
              <w:rPr>
                <w:i/>
              </w:rPr>
              <w:t>Carthamus</w:t>
            </w:r>
            <w:proofErr w:type="spellEnd"/>
            <w:r w:rsidRPr="0077669B">
              <w:rPr>
                <w:i/>
              </w:rPr>
              <w:t xml:space="preserve"> </w:t>
            </w:r>
            <w:proofErr w:type="spellStart"/>
            <w:r w:rsidRPr="0077669B">
              <w:rPr>
                <w:i/>
              </w:rPr>
              <w:t>tinctorius</w:t>
            </w:r>
            <w:proofErr w:type="spellEnd"/>
            <w:r>
              <w:t>) seeds; 12 07 99 Other: Other; 12 08 Flours and meals of oil seeds or oleaginous fruits, other than those of mustard</w:t>
            </w:r>
          </w:p>
          <w:p w:rsidR="00877C90" w:rsidRDefault="00F34438" w:rsidP="00F34438">
            <w:r>
              <w:t>Chapter 23</w:t>
            </w:r>
          </w:p>
          <w:p w:rsidR="00877C90" w:rsidRDefault="00F34438" w:rsidP="00F34438">
            <w:pPr>
              <w:spacing w:after="120"/>
            </w:pPr>
            <w:r>
              <w:t>23 02 Brans, sharps, and other residues derived from cereals or leguminous plants; 23 03 10 Residues of starch manufacture and similar residues; 23 04 Oil-cake and other solid residues from extraction of soya-bean oil; 23 06 oil cake and other solid residues from extraction of vegetable fats or oils</w:t>
            </w:r>
            <w:r w:rsidR="00903E6F">
              <w:t>;</w:t>
            </w:r>
            <w:r>
              <w:t xml:space="preserve"> 23 06 10 Of cotton seeds; 23 06 20 Of linseed; 23 06 30 Of sunflower seeds; 23 06 41 Of rape or colza seeds (low erucic acid); 23 06 49 Of rape or colza seeds (other); 23 06 90 Other; 23 09 90 Other (select commodities)</w:t>
            </w:r>
            <w:bookmarkStart w:id="3" w:name="sps3a"/>
            <w:bookmarkEnd w:id="3"/>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34438"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34438"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F3443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Belgium, Benin, Bulgaria, Burkina Faso, Burundi, Cabo Verde, Cameroon, Central African Republic, Chad, China, Congo, Côte d'Ivoire, Czech Republic, Estonia, The Gambia, Ghana, Guinea-Bissau, Hungary, Italy, Kenya, Latvia, Lithuania, Madagascar, Malawi, Republic of</w:t>
            </w:r>
            <w:r w:rsidR="00C95465">
              <w:t xml:space="preserve"> Moldova</w:t>
            </w:r>
            <w:r>
              <w:t>, Mongolia, Mozambique, Namibia, Nigeria, Poland, Romania, Russian Federation, Rwanda, Senegal, Sierra Leone, South Africa, Tanzania, Togo, Ukraine, Viet Nam, Zambia, Zimbabwe</w:t>
            </w:r>
            <w:bookmarkStart w:id="7" w:name="sps4a"/>
            <w:bookmarkEnd w:id="7"/>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34438" w:rsidP="004D1783">
            <w:pPr>
              <w:spacing w:before="120" w:after="120"/>
            </w:pPr>
            <w:r w:rsidRPr="004D1783">
              <w:rPr>
                <w:b/>
              </w:rPr>
              <w:t xml:space="preserve">Title of the notified document: </w:t>
            </w:r>
            <w:r>
              <w:t>Order Imposing Conditions in Relation to Secondary Control Zones In Respect of African Swine Fever</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English and French</w:t>
            </w:r>
            <w:bookmarkEnd w:id="9"/>
            <w:r w:rsidRPr="004D1783">
              <w:rPr>
                <w:bCs/>
              </w:rPr>
              <w:t>.</w:t>
            </w:r>
            <w:r w:rsidRPr="004D1783">
              <w:t xml:space="preserve"> </w:t>
            </w:r>
            <w:r w:rsidRPr="004D1783">
              <w:rPr>
                <w:b/>
              </w:rPr>
              <w:t xml:space="preserve">Number of pages: </w:t>
            </w:r>
            <w:bookmarkStart w:id="10" w:name="sps5c"/>
            <w:r w:rsidRPr="004D1783">
              <w:t>4 and 5</w:t>
            </w:r>
            <w:bookmarkEnd w:id="10"/>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363BB6">
            <w:pPr>
              <w:keepNext/>
              <w:keepLines/>
              <w:spacing w:before="80" w:after="80"/>
            </w:pPr>
            <w:r w:rsidRPr="004D1783">
              <w:rPr>
                <w:b/>
              </w:rPr>
              <w:lastRenderedPageBreak/>
              <w:t>6.</w:t>
            </w:r>
          </w:p>
        </w:tc>
        <w:tc>
          <w:tcPr>
            <w:tcW w:w="8320" w:type="dxa"/>
            <w:tcBorders>
              <w:top w:val="single" w:sz="6" w:space="0" w:color="auto"/>
              <w:bottom w:val="single" w:sz="6" w:space="0" w:color="auto"/>
            </w:tcBorders>
            <w:shd w:val="clear" w:color="auto" w:fill="auto"/>
          </w:tcPr>
          <w:p w:rsidR="00326D34" w:rsidRPr="004D1783" w:rsidRDefault="00F34438" w:rsidP="00363BB6">
            <w:pPr>
              <w:keepNext/>
              <w:keepLines/>
              <w:spacing w:before="80" w:after="80"/>
            </w:pPr>
            <w:r w:rsidRPr="004D1783">
              <w:rPr>
                <w:b/>
              </w:rPr>
              <w:t xml:space="preserve">Description of content: </w:t>
            </w:r>
            <w:r>
              <w:t>The Canadian Food Inspection Agency (</w:t>
            </w:r>
            <w:proofErr w:type="spellStart"/>
            <w:r>
              <w:t>CFIA</w:t>
            </w:r>
            <w:proofErr w:type="spellEnd"/>
            <w:r>
              <w:t>) has implemented new import requirements for select feed ingredients imported from countries identified as posing a potential concern with respect to African Swine Fever (</w:t>
            </w:r>
            <w:proofErr w:type="spellStart"/>
            <w:r>
              <w:t>ASF</w:t>
            </w:r>
            <w:proofErr w:type="spellEnd"/>
            <w:r>
              <w:t>). The identified products will require an import permit prior to importation from the specified countries and the conditions in the implementing order and the import permit will need to be met. These conditions include heat treatment and/or hold times (depending on the product in question) designed to mitigate the risk of contamination of these products with the African Swine Fever virus.</w:t>
            </w:r>
            <w:bookmarkStart w:id="11" w:name="sps6a"/>
            <w:bookmarkEnd w:id="11"/>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363BB6">
            <w:pPr>
              <w:spacing w:before="80" w:after="8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34438" w:rsidP="00363BB6">
            <w:pPr>
              <w:spacing w:before="80" w:after="8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363BB6">
            <w:pPr>
              <w:spacing w:before="80" w:after="8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34438" w:rsidP="00363BB6">
            <w:pPr>
              <w:spacing w:before="80" w:after="80"/>
            </w:pPr>
            <w:r w:rsidRPr="004D1783">
              <w:rPr>
                <w:b/>
              </w:rPr>
              <w:t xml:space="preserve">Nature of the urgent problem(s) and reason for urgent action: </w:t>
            </w:r>
            <w:r>
              <w:t>Emerging scientific studies have demonstrated that livestock feed contaminated with the African Swine Fever (</w:t>
            </w:r>
            <w:proofErr w:type="spellStart"/>
            <w:r>
              <w:t>ASF</w:t>
            </w:r>
            <w:proofErr w:type="spellEnd"/>
            <w:r>
              <w:t xml:space="preserve">) virus is a possible pathway for the transmission of </w:t>
            </w:r>
            <w:proofErr w:type="spellStart"/>
            <w:r>
              <w:t>ASF</w:t>
            </w:r>
            <w:proofErr w:type="spellEnd"/>
            <w:r>
              <w:t xml:space="preserve"> and that </w:t>
            </w:r>
            <w:proofErr w:type="spellStart"/>
            <w:r>
              <w:t>ASF</w:t>
            </w:r>
            <w:proofErr w:type="spellEnd"/>
            <w:r>
              <w:t xml:space="preserve"> may be able to survive transoceanic shipping in feed ingredients. Given the recent spread of </w:t>
            </w:r>
            <w:proofErr w:type="spellStart"/>
            <w:r>
              <w:t>ASF</w:t>
            </w:r>
            <w:proofErr w:type="spellEnd"/>
            <w:r>
              <w:t xml:space="preserve"> globally and the dependence of Canada's swine industry on the export of pork products, urgent action by the </w:t>
            </w:r>
            <w:proofErr w:type="spellStart"/>
            <w:r>
              <w:t>CFIA</w:t>
            </w:r>
            <w:proofErr w:type="spellEnd"/>
            <w:r>
              <w:t xml:space="preserve"> is necessary.</w:t>
            </w:r>
            <w:bookmarkStart w:id="18" w:name="sps8a"/>
            <w:bookmarkEnd w:id="18"/>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363BB6">
            <w:pPr>
              <w:spacing w:before="80" w:after="8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34438" w:rsidP="00363BB6">
            <w:pPr>
              <w:spacing w:before="80" w:after="80"/>
              <w:rPr>
                <w:b/>
              </w:rPr>
            </w:pPr>
            <w:r w:rsidRPr="004D1783">
              <w:rPr>
                <w:b/>
              </w:rPr>
              <w:t xml:space="preserve">Is there a relevant international standard? If so, identify the standard: </w:t>
            </w:r>
          </w:p>
          <w:p w:rsidR="00326D34" w:rsidRPr="004D1783" w:rsidRDefault="00F34438"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F34438" w:rsidP="004D1783">
            <w:pPr>
              <w:spacing w:after="120"/>
              <w:ind w:left="720" w:hanging="720"/>
            </w:pPr>
            <w:r w:rsidRPr="004D1783">
              <w:rPr>
                <w:b/>
              </w:rPr>
              <w:t>[ ]</w:t>
            </w:r>
            <w:bookmarkStart w:id="21" w:name="sps9b"/>
            <w:bookmarkEnd w:id="21"/>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bookmarkStart w:id="22" w:name="sps9btext"/>
            <w:bookmarkEnd w:id="22"/>
          </w:p>
          <w:p w:rsidR="00326D34" w:rsidRPr="004D1783" w:rsidRDefault="00F34438"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4" w:name="sps9ctext"/>
            <w:bookmarkEnd w:id="24"/>
          </w:p>
          <w:p w:rsidR="00326D34" w:rsidRPr="004D1783" w:rsidRDefault="00F34438" w:rsidP="004D1783">
            <w:pPr>
              <w:spacing w:after="120"/>
              <w:ind w:left="720" w:hanging="720"/>
              <w:rPr>
                <w:b/>
              </w:rPr>
            </w:pPr>
            <w:r w:rsidRPr="004D1783">
              <w:rPr>
                <w:b/>
              </w:rPr>
              <w:t>[</w:t>
            </w:r>
            <w:bookmarkStart w:id="25" w:name="sps9d"/>
            <w:r w:rsidRPr="004D1783">
              <w:rPr>
                <w:b/>
              </w:rPr>
              <w:t>X</w:t>
            </w:r>
            <w:bookmarkEnd w:id="25"/>
            <w:r w:rsidRPr="004D1783">
              <w:rPr>
                <w:b/>
              </w:rPr>
              <w:t>]</w:t>
            </w:r>
            <w:r w:rsidRPr="004D1783">
              <w:rPr>
                <w:b/>
              </w:rPr>
              <w:tab/>
              <w:t>None</w:t>
            </w:r>
          </w:p>
          <w:p w:rsidR="00326D34" w:rsidRPr="004D1783" w:rsidRDefault="00F34438" w:rsidP="004D1783">
            <w:pPr>
              <w:spacing w:after="120"/>
              <w:rPr>
                <w:b/>
              </w:rPr>
            </w:pPr>
            <w:r w:rsidRPr="004D1783">
              <w:rPr>
                <w:b/>
              </w:rPr>
              <w:t>Does this proposed regulation conform to the relevant international standard?</w:t>
            </w:r>
          </w:p>
          <w:p w:rsidR="00326D34" w:rsidRPr="004D1783" w:rsidRDefault="00F34438" w:rsidP="004D1783">
            <w:pPr>
              <w:spacing w:after="120"/>
              <w:rPr>
                <w:b/>
              </w:rPr>
            </w:pPr>
            <w:r w:rsidRPr="004D1783">
              <w:rPr>
                <w:b/>
              </w:rPr>
              <w:t>[ ]</w:t>
            </w:r>
            <w:bookmarkStart w:id="26" w:name="sps9ey"/>
            <w:bookmarkEnd w:id="26"/>
            <w:r w:rsidRPr="004D1783">
              <w:rPr>
                <w:b/>
              </w:rPr>
              <w:t xml:space="preserve"> Yes   [ ]</w:t>
            </w:r>
            <w:bookmarkStart w:id="27" w:name="sps9en"/>
            <w:bookmarkEnd w:id="27"/>
            <w:r w:rsidRPr="004D1783">
              <w:rPr>
                <w:b/>
              </w:rPr>
              <w:t xml:space="preserve"> No</w:t>
            </w:r>
          </w:p>
          <w:p w:rsidR="00326D34" w:rsidRPr="004D1783" w:rsidRDefault="00F34438"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363BB6">
            <w:pPr>
              <w:spacing w:before="80" w:after="8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F34438" w:rsidP="00363BB6">
            <w:pPr>
              <w:spacing w:before="80" w:after="80"/>
            </w:pPr>
            <w:r w:rsidRPr="004D1783">
              <w:rPr>
                <w:b/>
              </w:rPr>
              <w:t>Other relevant documents and language(s) in which these are available:</w:t>
            </w:r>
            <w:r w:rsidRPr="004D1783">
              <w:rPr>
                <w:bCs/>
              </w:rPr>
              <w:t xml:space="preserve"> </w:t>
            </w:r>
          </w:p>
          <w:p w:rsidR="00877C90" w:rsidRDefault="00F34438" w:rsidP="00F34438">
            <w:pPr>
              <w:pStyle w:val="Paragraphedeliste"/>
              <w:numPr>
                <w:ilvl w:val="0"/>
                <w:numId w:val="16"/>
              </w:numPr>
              <w:spacing w:before="30" w:after="120"/>
              <w:ind w:left="364"/>
            </w:pPr>
            <w:r>
              <w:t>African swine fever: </w:t>
            </w:r>
            <w:hyperlink r:id="rId7" w:history="1">
              <w:r w:rsidR="00363BB6" w:rsidRPr="00CD2888">
                <w:rPr>
                  <w:rStyle w:val="Lienhypertexte"/>
                </w:rPr>
                <w:t>http://www.inspection.gc.ca/animals/terrestrial-animals/</w:t>
              </w:r>
              <w:r w:rsidR="00363BB6" w:rsidRPr="00CD2888">
                <w:rPr>
                  <w:rStyle w:val="Lienhypertexte"/>
                </w:rPr>
                <w:br/>
                <w:t>diseases/reportable/african-swine-fever/eng/1306983245302/1306983373952</w:t>
              </w:r>
            </w:hyperlink>
            <w:r w:rsidR="00363BB6">
              <w:rPr>
                <w:rStyle w:val="Lienhypertexte"/>
              </w:rPr>
              <w:t xml:space="preserve"> </w:t>
            </w:r>
            <w:r>
              <w:t>(English)</w:t>
            </w:r>
          </w:p>
          <w:p w:rsidR="00877C90" w:rsidRDefault="00F34438" w:rsidP="00F34438">
            <w:pPr>
              <w:pStyle w:val="Paragraphedeliste"/>
              <w:numPr>
                <w:ilvl w:val="0"/>
                <w:numId w:val="16"/>
              </w:numPr>
              <w:spacing w:after="120"/>
              <w:ind w:left="364"/>
            </w:pPr>
            <w:r>
              <w:t>Peste porcine africaine: </w:t>
            </w:r>
            <w:hyperlink r:id="rId8" w:history="1">
              <w:r w:rsidR="00363BB6" w:rsidRPr="00CD2888">
                <w:rPr>
                  <w:rStyle w:val="Lienhypertexte"/>
                </w:rPr>
                <w:t>http://www.inspection.gc.ca/animaux/animaux-terrestres/</w:t>
              </w:r>
              <w:r w:rsidR="00363BB6" w:rsidRPr="00CD2888">
                <w:rPr>
                  <w:rStyle w:val="Lienhypertexte"/>
                </w:rPr>
                <w:br/>
                <w:t>maladies/declaration-obligatoire/peste-porcine-africaine/fra/1306983245302/</w:t>
              </w:r>
              <w:r w:rsidR="00363BB6" w:rsidRPr="00CD2888">
                <w:rPr>
                  <w:rStyle w:val="Lienhypertexte"/>
                </w:rPr>
                <w:br/>
                <w:t>1306983373952</w:t>
              </w:r>
            </w:hyperlink>
            <w:r w:rsidR="00363BB6">
              <w:rPr>
                <w:rStyle w:val="Lienhypertexte"/>
              </w:rPr>
              <w:t xml:space="preserve"> </w:t>
            </w:r>
            <w:r>
              <w:t>(French)</w:t>
            </w:r>
            <w:bookmarkStart w:id="29" w:name="sps10a"/>
            <w:bookmarkEnd w:id="29"/>
            <w:r w:rsidRPr="00F34438">
              <w:rPr>
                <w:bCs/>
              </w:rPr>
              <w:t xml:space="preserve"> </w:t>
            </w:r>
            <w:bookmarkStart w:id="30" w:name="sps10b"/>
            <w:bookmarkEnd w:id="30"/>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363BB6">
            <w:pPr>
              <w:spacing w:before="80" w:after="8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34438" w:rsidP="00363BB6">
            <w:pPr>
              <w:spacing w:before="80" w:after="80"/>
              <w:rPr>
                <w:bCs/>
              </w:rPr>
            </w:pPr>
            <w:r w:rsidRPr="004D1783">
              <w:rPr>
                <w:b/>
              </w:rPr>
              <w:t>Date of entry into force (</w:t>
            </w:r>
            <w:r w:rsidRPr="004D1783">
              <w:rPr>
                <w:b/>
                <w:i/>
              </w:rPr>
              <w:t>dd/mm/</w:t>
            </w:r>
            <w:proofErr w:type="spellStart"/>
            <w:r w:rsidRPr="004D1783">
              <w:rPr>
                <w:b/>
                <w:i/>
              </w:rPr>
              <w:t>yy</w:t>
            </w:r>
            <w:proofErr w:type="spellEnd"/>
            <w:r w:rsidRPr="004D1783">
              <w:rPr>
                <w:b/>
              </w:rPr>
              <w:t xml:space="preserve">)/period of application (as applicable): </w:t>
            </w:r>
            <w:r>
              <w:t>29 March 2019</w:t>
            </w:r>
            <w:bookmarkStart w:id="31" w:name="sps11a"/>
            <w:bookmarkStart w:id="32" w:name="sps11c"/>
            <w:bookmarkStart w:id="33" w:name="sps11cbis"/>
            <w:bookmarkStart w:id="34" w:name="sps11d"/>
            <w:bookmarkEnd w:id="31"/>
            <w:bookmarkEnd w:id="32"/>
            <w:bookmarkEnd w:id="33"/>
            <w:bookmarkEnd w:id="34"/>
          </w:p>
          <w:p w:rsidR="00326D34" w:rsidRPr="004D1783" w:rsidRDefault="00F34438" w:rsidP="004D1783">
            <w:pPr>
              <w:spacing w:after="120"/>
              <w:ind w:left="607" w:hanging="607"/>
            </w:pPr>
            <w:proofErr w:type="gramStart"/>
            <w:r w:rsidRPr="004D1783">
              <w:rPr>
                <w:b/>
              </w:rPr>
              <w:t>[ ]</w:t>
            </w:r>
            <w:bookmarkStart w:id="35" w:name="sps11e"/>
            <w:bookmarkEnd w:id="35"/>
            <w:proofErr w:type="gramEnd"/>
            <w:r w:rsidRPr="004D1783">
              <w:rPr>
                <w:b/>
              </w:rPr>
              <w:tab/>
              <w:t xml:space="preserve">Trade facilitating measure </w:t>
            </w:r>
            <w:bookmarkStart w:id="36" w:name="sps11ebis"/>
            <w:bookmarkEnd w:id="36"/>
          </w:p>
        </w:tc>
      </w:tr>
      <w:tr w:rsidR="00877C90" w:rsidTr="00B056CB">
        <w:tc>
          <w:tcPr>
            <w:tcW w:w="707" w:type="dxa"/>
            <w:tcBorders>
              <w:top w:val="single" w:sz="6" w:space="0" w:color="auto"/>
              <w:bottom w:val="single" w:sz="6" w:space="0" w:color="auto"/>
            </w:tcBorders>
            <w:shd w:val="clear" w:color="auto" w:fill="auto"/>
          </w:tcPr>
          <w:p w:rsidR="00326D34" w:rsidRPr="004D1783" w:rsidRDefault="00F34438" w:rsidP="00363BB6">
            <w:pPr>
              <w:spacing w:before="80" w:after="8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34438" w:rsidP="00363BB6">
            <w:pPr>
              <w:spacing w:before="80" w:after="8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bookmarkStart w:id="39" w:name="sps12c"/>
            <w:bookmarkEnd w:id="39"/>
          </w:p>
        </w:tc>
      </w:tr>
      <w:tr w:rsidR="00877C90" w:rsidTr="00B056CB">
        <w:tc>
          <w:tcPr>
            <w:tcW w:w="707" w:type="dxa"/>
            <w:tcBorders>
              <w:top w:val="single" w:sz="6" w:space="0" w:color="auto"/>
            </w:tcBorders>
            <w:shd w:val="clear" w:color="auto" w:fill="auto"/>
          </w:tcPr>
          <w:p w:rsidR="00326D34" w:rsidRPr="004D1783" w:rsidRDefault="00F34438" w:rsidP="00363BB6">
            <w:pPr>
              <w:spacing w:before="80" w:after="80"/>
              <w:rPr>
                <w:b/>
              </w:rPr>
            </w:pPr>
            <w:r w:rsidRPr="004D1783">
              <w:rPr>
                <w:b/>
              </w:rPr>
              <w:t>13.</w:t>
            </w:r>
          </w:p>
        </w:tc>
        <w:tc>
          <w:tcPr>
            <w:tcW w:w="8320" w:type="dxa"/>
            <w:tcBorders>
              <w:top w:val="single" w:sz="6" w:space="0" w:color="auto"/>
            </w:tcBorders>
            <w:shd w:val="clear" w:color="auto" w:fill="auto"/>
          </w:tcPr>
          <w:p w:rsidR="00326D34" w:rsidRPr="004D1783" w:rsidRDefault="00F34438" w:rsidP="00363BB6">
            <w:pPr>
              <w:spacing w:before="80" w:after="8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xml:space="preserve">] National Enquiry </w:t>
            </w:r>
            <w:r w:rsidRPr="00363BB6">
              <w:rPr>
                <w:b/>
              </w:rPr>
              <w:t>Point</w:t>
            </w:r>
            <w:r w:rsidRPr="004D1783">
              <w:rPr>
                <w:b/>
                <w:bCs/>
              </w:rPr>
              <w:t xml:space="preserve">. Address, fax number and e-mail address (if available) of other body: </w:t>
            </w:r>
          </w:p>
          <w:p w:rsidR="00877C90" w:rsidRDefault="00F34438">
            <w:r>
              <w:t>Canada's SPS and TBT Notification Authority and Enquiry Point</w:t>
            </w:r>
          </w:p>
          <w:p w:rsidR="00877C90" w:rsidRDefault="00F34438">
            <w:r>
              <w:t>Technical Barriers and Regulations Division</w:t>
            </w:r>
          </w:p>
          <w:p w:rsidR="00877C90" w:rsidRDefault="00F34438">
            <w:r>
              <w:t>Global Affairs Canada</w:t>
            </w:r>
          </w:p>
          <w:p w:rsidR="00877C90" w:rsidRDefault="00F34438">
            <w:r>
              <w:t>111 Sussex Drive</w:t>
            </w:r>
          </w:p>
          <w:p w:rsidR="00877C90" w:rsidRDefault="00F34438">
            <w:r>
              <w:t>Ottawa, Ontario K1A 0G2</w:t>
            </w:r>
          </w:p>
          <w:p w:rsidR="00877C90" w:rsidRDefault="00F34438">
            <w:r>
              <w:t>Tel: +(343) 203 4273</w:t>
            </w:r>
          </w:p>
          <w:p w:rsidR="00877C90" w:rsidRDefault="00F34438">
            <w:r>
              <w:t>Fax: +(613) 943 0346</w:t>
            </w:r>
          </w:p>
          <w:p w:rsidR="00877C90" w:rsidRDefault="00F34438">
            <w:pPr>
              <w:spacing w:after="120"/>
            </w:pPr>
            <w:r>
              <w:t>E-mail: enquirypoint@international.gc.ca</w:t>
            </w:r>
            <w:bookmarkStart w:id="42" w:name="sps13c"/>
            <w:bookmarkEnd w:id="42"/>
          </w:p>
        </w:tc>
      </w:tr>
    </w:tbl>
    <w:p w:rsidR="007141CF" w:rsidRPr="004D1783" w:rsidRDefault="00E54F4A" w:rsidP="004D1783"/>
    <w:sectPr w:rsidR="007141CF" w:rsidRPr="004D1783" w:rsidSect="00363BB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426"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580" w:rsidRDefault="00F34438">
      <w:r>
        <w:separator/>
      </w:r>
    </w:p>
  </w:endnote>
  <w:endnote w:type="continuationSeparator" w:id="0">
    <w:p w:rsidR="00594580" w:rsidRDefault="00F3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FD7207" w:rsidRDefault="00FD7207" w:rsidP="00FD720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FD7207" w:rsidRDefault="00FD7207" w:rsidP="00FD720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F34438"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580" w:rsidRDefault="00F34438">
      <w:r>
        <w:separator/>
      </w:r>
    </w:p>
  </w:footnote>
  <w:footnote w:type="continuationSeparator" w:id="0">
    <w:p w:rsidR="00594580" w:rsidRDefault="00F3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207" w:rsidRPr="00FD7207" w:rsidRDefault="00FD7207" w:rsidP="00FD7207">
    <w:pPr>
      <w:pStyle w:val="En-tte"/>
      <w:pBdr>
        <w:bottom w:val="single" w:sz="4" w:space="1" w:color="auto"/>
      </w:pBdr>
      <w:tabs>
        <w:tab w:val="clear" w:pos="4513"/>
        <w:tab w:val="clear" w:pos="9027"/>
      </w:tabs>
      <w:jc w:val="center"/>
    </w:pPr>
    <w:r w:rsidRPr="00FD7207">
      <w:t>G/SPS/N/CAN/1244</w:t>
    </w:r>
  </w:p>
  <w:p w:rsidR="00FD7207" w:rsidRPr="00FD7207" w:rsidRDefault="00FD7207" w:rsidP="00FD7207">
    <w:pPr>
      <w:pStyle w:val="En-tte"/>
      <w:pBdr>
        <w:bottom w:val="single" w:sz="4" w:space="1" w:color="auto"/>
      </w:pBdr>
      <w:tabs>
        <w:tab w:val="clear" w:pos="4513"/>
        <w:tab w:val="clear" w:pos="9027"/>
      </w:tabs>
      <w:jc w:val="center"/>
    </w:pPr>
  </w:p>
  <w:p w:rsidR="00FD7207" w:rsidRPr="00FD7207" w:rsidRDefault="00FD7207" w:rsidP="00FD7207">
    <w:pPr>
      <w:pStyle w:val="En-tte"/>
      <w:pBdr>
        <w:bottom w:val="single" w:sz="4" w:space="1" w:color="auto"/>
      </w:pBdr>
      <w:tabs>
        <w:tab w:val="clear" w:pos="4513"/>
        <w:tab w:val="clear" w:pos="9027"/>
      </w:tabs>
      <w:jc w:val="center"/>
    </w:pPr>
    <w:r w:rsidRPr="00FD7207">
      <w:t xml:space="preserve">- </w:t>
    </w:r>
    <w:r w:rsidRPr="00FD7207">
      <w:fldChar w:fldCharType="begin"/>
    </w:r>
    <w:r w:rsidRPr="00FD7207">
      <w:instrText xml:space="preserve"> PAGE </w:instrText>
    </w:r>
    <w:r w:rsidRPr="00FD7207">
      <w:fldChar w:fldCharType="separate"/>
    </w:r>
    <w:r w:rsidRPr="00FD7207">
      <w:rPr>
        <w:noProof/>
      </w:rPr>
      <w:t>2</w:t>
    </w:r>
    <w:r w:rsidRPr="00FD7207">
      <w:fldChar w:fldCharType="end"/>
    </w:r>
    <w:r w:rsidRPr="00FD7207">
      <w:t xml:space="preserve"> -</w:t>
    </w:r>
  </w:p>
  <w:p w:rsidR="00326D34" w:rsidRPr="00FD7207" w:rsidRDefault="00E54F4A" w:rsidP="00FD720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207" w:rsidRPr="00FD7207" w:rsidRDefault="00FD7207" w:rsidP="00FD7207">
    <w:pPr>
      <w:pStyle w:val="En-tte"/>
      <w:pBdr>
        <w:bottom w:val="single" w:sz="4" w:space="1" w:color="auto"/>
      </w:pBdr>
      <w:tabs>
        <w:tab w:val="clear" w:pos="4513"/>
        <w:tab w:val="clear" w:pos="9027"/>
      </w:tabs>
      <w:jc w:val="center"/>
    </w:pPr>
    <w:r w:rsidRPr="00FD7207">
      <w:t>G/SPS/N/CAN/1244</w:t>
    </w:r>
  </w:p>
  <w:p w:rsidR="00FD7207" w:rsidRPr="00FD7207" w:rsidRDefault="00FD7207" w:rsidP="00FD7207">
    <w:pPr>
      <w:pStyle w:val="En-tte"/>
      <w:pBdr>
        <w:bottom w:val="single" w:sz="4" w:space="1" w:color="auto"/>
      </w:pBdr>
      <w:tabs>
        <w:tab w:val="clear" w:pos="4513"/>
        <w:tab w:val="clear" w:pos="9027"/>
      </w:tabs>
      <w:jc w:val="center"/>
    </w:pPr>
  </w:p>
  <w:p w:rsidR="00FD7207" w:rsidRPr="00FD7207" w:rsidRDefault="00FD7207" w:rsidP="00FD7207">
    <w:pPr>
      <w:pStyle w:val="En-tte"/>
      <w:pBdr>
        <w:bottom w:val="single" w:sz="4" w:space="1" w:color="auto"/>
      </w:pBdr>
      <w:tabs>
        <w:tab w:val="clear" w:pos="4513"/>
        <w:tab w:val="clear" w:pos="9027"/>
      </w:tabs>
      <w:jc w:val="center"/>
    </w:pPr>
    <w:r w:rsidRPr="00FD7207">
      <w:t xml:space="preserve">- </w:t>
    </w:r>
    <w:r w:rsidRPr="00FD7207">
      <w:fldChar w:fldCharType="begin"/>
    </w:r>
    <w:r w:rsidRPr="00FD7207">
      <w:instrText xml:space="preserve"> PAGE </w:instrText>
    </w:r>
    <w:r w:rsidRPr="00FD7207">
      <w:fldChar w:fldCharType="separate"/>
    </w:r>
    <w:r w:rsidRPr="00FD7207">
      <w:rPr>
        <w:noProof/>
      </w:rPr>
      <w:t>2</w:t>
    </w:r>
    <w:r w:rsidRPr="00FD7207">
      <w:fldChar w:fldCharType="end"/>
    </w:r>
    <w:r w:rsidRPr="00FD7207">
      <w:t xml:space="preserve"> -</w:t>
    </w:r>
  </w:p>
  <w:p w:rsidR="00326D34" w:rsidRPr="00FD7207" w:rsidRDefault="00E54F4A" w:rsidP="00FD720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7C90" w:rsidTr="00F766DE">
      <w:trPr>
        <w:trHeight w:val="240"/>
        <w:jc w:val="center"/>
      </w:trPr>
      <w:tc>
        <w:tcPr>
          <w:tcW w:w="3794" w:type="dxa"/>
          <w:shd w:val="clear" w:color="auto" w:fill="FFFFFF"/>
          <w:tcMar>
            <w:left w:w="108" w:type="dxa"/>
            <w:right w:w="108" w:type="dxa"/>
          </w:tcMar>
          <w:vAlign w:val="center"/>
        </w:tcPr>
        <w:p w:rsidR="00ED54E0" w:rsidRPr="00326D34" w:rsidRDefault="00E54F4A"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FD7207" w:rsidP="00545F9C">
          <w:pPr>
            <w:jc w:val="right"/>
            <w:rPr>
              <w:b/>
              <w:color w:val="FF0000"/>
              <w:szCs w:val="16"/>
            </w:rPr>
          </w:pPr>
          <w:r>
            <w:rPr>
              <w:b/>
              <w:color w:val="FF0000"/>
              <w:szCs w:val="16"/>
            </w:rPr>
            <w:t xml:space="preserve"> </w:t>
          </w:r>
        </w:p>
      </w:tc>
    </w:tr>
    <w:bookmarkEnd w:id="43"/>
    <w:tr w:rsidR="00877C90" w:rsidTr="00F766DE">
      <w:trPr>
        <w:trHeight w:val="213"/>
        <w:jc w:val="center"/>
      </w:trPr>
      <w:tc>
        <w:tcPr>
          <w:tcW w:w="3794" w:type="dxa"/>
          <w:vMerge w:val="restart"/>
          <w:shd w:val="clear" w:color="auto" w:fill="FFFFFF"/>
          <w:tcMar>
            <w:left w:w="0" w:type="dxa"/>
            <w:right w:w="0" w:type="dxa"/>
          </w:tcMar>
        </w:tcPr>
        <w:p w:rsidR="00ED54E0" w:rsidRPr="00326D34" w:rsidRDefault="00FD7207" w:rsidP="00545F9C">
          <w:pPr>
            <w:jc w:val="left"/>
          </w:pPr>
          <w:r>
            <w:rPr>
              <w:noProof/>
              <w:lang w:eastAsia="en-GB"/>
            </w:rPr>
            <w:drawing>
              <wp:inline distT="0" distB="0" distL="0" distR="0">
                <wp:extent cx="2400300" cy="71437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54F4A" w:rsidP="00545F9C">
          <w:pPr>
            <w:jc w:val="right"/>
            <w:rPr>
              <w:b/>
              <w:szCs w:val="16"/>
            </w:rPr>
          </w:pPr>
        </w:p>
      </w:tc>
    </w:tr>
    <w:tr w:rsidR="00877C90" w:rsidTr="00F766DE">
      <w:trPr>
        <w:trHeight w:val="868"/>
        <w:jc w:val="center"/>
      </w:trPr>
      <w:tc>
        <w:tcPr>
          <w:tcW w:w="3794" w:type="dxa"/>
          <w:vMerge/>
          <w:shd w:val="clear" w:color="auto" w:fill="FFFFFF"/>
          <w:tcMar>
            <w:left w:w="108" w:type="dxa"/>
            <w:right w:w="108" w:type="dxa"/>
          </w:tcMar>
        </w:tcPr>
        <w:p w:rsidR="00ED54E0" w:rsidRPr="00326D34" w:rsidRDefault="00E54F4A" w:rsidP="00545F9C">
          <w:pPr>
            <w:jc w:val="left"/>
            <w:rPr>
              <w:noProof/>
              <w:lang w:eastAsia="en-GB"/>
            </w:rPr>
          </w:pPr>
        </w:p>
      </w:tc>
      <w:tc>
        <w:tcPr>
          <w:tcW w:w="5448" w:type="dxa"/>
          <w:gridSpan w:val="2"/>
          <w:shd w:val="clear" w:color="auto" w:fill="FFFFFF"/>
          <w:tcMar>
            <w:left w:w="108" w:type="dxa"/>
            <w:right w:w="108" w:type="dxa"/>
          </w:tcMar>
        </w:tcPr>
        <w:p w:rsidR="00FD7207" w:rsidRDefault="00FD7207" w:rsidP="00043762">
          <w:pPr>
            <w:jc w:val="right"/>
            <w:rPr>
              <w:b/>
              <w:szCs w:val="16"/>
            </w:rPr>
          </w:pPr>
          <w:bookmarkStart w:id="44" w:name="bmkSymbols"/>
          <w:r>
            <w:rPr>
              <w:b/>
              <w:szCs w:val="16"/>
            </w:rPr>
            <w:t>G/SPS/N/CAN/1244</w:t>
          </w:r>
        </w:p>
        <w:bookmarkEnd w:id="44"/>
        <w:p w:rsidR="00ED54E0" w:rsidRPr="004D1783" w:rsidRDefault="00E54F4A" w:rsidP="00043762">
          <w:pPr>
            <w:jc w:val="right"/>
            <w:rPr>
              <w:b/>
              <w:szCs w:val="16"/>
            </w:rPr>
          </w:pPr>
        </w:p>
      </w:tc>
    </w:tr>
    <w:tr w:rsidR="00877C90" w:rsidTr="00F766DE">
      <w:trPr>
        <w:trHeight w:val="240"/>
        <w:jc w:val="center"/>
      </w:trPr>
      <w:tc>
        <w:tcPr>
          <w:tcW w:w="3794" w:type="dxa"/>
          <w:vMerge/>
          <w:shd w:val="clear" w:color="auto" w:fill="FFFFFF"/>
          <w:tcMar>
            <w:left w:w="108" w:type="dxa"/>
            <w:right w:w="108" w:type="dxa"/>
          </w:tcMar>
          <w:vAlign w:val="center"/>
        </w:tcPr>
        <w:p w:rsidR="00ED54E0" w:rsidRPr="00326D34" w:rsidRDefault="00E54F4A" w:rsidP="00545F9C"/>
      </w:tc>
      <w:tc>
        <w:tcPr>
          <w:tcW w:w="5448" w:type="dxa"/>
          <w:gridSpan w:val="2"/>
          <w:shd w:val="clear" w:color="auto" w:fill="FFFFFF"/>
          <w:tcMar>
            <w:left w:w="108" w:type="dxa"/>
            <w:right w:w="108" w:type="dxa"/>
          </w:tcMar>
          <w:vAlign w:val="center"/>
        </w:tcPr>
        <w:p w:rsidR="00ED54E0" w:rsidRPr="00326D34" w:rsidRDefault="00E54F4A" w:rsidP="00545F9C">
          <w:pPr>
            <w:jc w:val="right"/>
            <w:rPr>
              <w:szCs w:val="16"/>
            </w:rPr>
          </w:pPr>
          <w:bookmarkStart w:id="45" w:name="spsDateDistribution"/>
          <w:bookmarkStart w:id="46" w:name="bmkDate"/>
          <w:bookmarkEnd w:id="45"/>
          <w:bookmarkEnd w:id="46"/>
          <w:r>
            <w:rPr>
              <w:szCs w:val="16"/>
            </w:rPr>
            <w:t xml:space="preserve">3 April </w:t>
          </w:r>
          <w:r>
            <w:rPr>
              <w:szCs w:val="16"/>
            </w:rPr>
            <w:t>2019</w:t>
          </w:r>
          <w:bookmarkStart w:id="47" w:name="_GoBack"/>
          <w:bookmarkEnd w:id="47"/>
        </w:p>
      </w:tc>
    </w:tr>
    <w:tr w:rsidR="00877C90"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34438" w:rsidP="00545F9C">
          <w:pPr>
            <w:jc w:val="left"/>
            <w:rPr>
              <w:b/>
            </w:rPr>
          </w:pPr>
          <w:bookmarkStart w:id="48" w:name="bmkSerial"/>
          <w:r w:rsidRPr="004D1783">
            <w:rPr>
              <w:color w:val="FF0000"/>
              <w:szCs w:val="16"/>
            </w:rPr>
            <w:t>(</w:t>
          </w:r>
          <w:bookmarkStart w:id="49" w:name="spsSerialNumber"/>
          <w:bookmarkEnd w:id="49"/>
          <w:r w:rsidR="00E54F4A">
            <w:rPr>
              <w:color w:val="FF0000"/>
              <w:szCs w:val="16"/>
            </w:rPr>
            <w:t>19-2108</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F3443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0"/>
        </w:p>
      </w:tc>
    </w:tr>
    <w:tr w:rsidR="00877C90"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D7207"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FD7207" w:rsidP="00BD648A">
          <w:pPr>
            <w:jc w:val="right"/>
            <w:rPr>
              <w:bCs/>
              <w:szCs w:val="18"/>
            </w:rPr>
          </w:pPr>
          <w:bookmarkStart w:id="52" w:name="bmkLanguage"/>
          <w:r>
            <w:rPr>
              <w:bCs/>
              <w:szCs w:val="18"/>
            </w:rPr>
            <w:t>Original: English/French</w:t>
          </w:r>
          <w:bookmarkEnd w:id="52"/>
        </w:p>
      </w:tc>
    </w:tr>
  </w:tbl>
  <w:p w:rsidR="00ED54E0" w:rsidRPr="004D1783" w:rsidRDefault="00E54F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3AE40C">
      <w:start w:val="1"/>
      <w:numFmt w:val="decimal"/>
      <w:pStyle w:val="SummaryText"/>
      <w:lvlText w:val="%1."/>
      <w:lvlJc w:val="left"/>
      <w:pPr>
        <w:ind w:left="360" w:hanging="360"/>
      </w:pPr>
    </w:lvl>
    <w:lvl w:ilvl="1" w:tplc="4EC42976" w:tentative="1">
      <w:start w:val="1"/>
      <w:numFmt w:val="lowerLetter"/>
      <w:lvlText w:val="%2."/>
      <w:lvlJc w:val="left"/>
      <w:pPr>
        <w:ind w:left="1080" w:hanging="360"/>
      </w:pPr>
    </w:lvl>
    <w:lvl w:ilvl="2" w:tplc="E5D0F014" w:tentative="1">
      <w:start w:val="1"/>
      <w:numFmt w:val="lowerRoman"/>
      <w:lvlText w:val="%3."/>
      <w:lvlJc w:val="right"/>
      <w:pPr>
        <w:ind w:left="1800" w:hanging="180"/>
      </w:pPr>
    </w:lvl>
    <w:lvl w:ilvl="3" w:tplc="AD68060C" w:tentative="1">
      <w:start w:val="1"/>
      <w:numFmt w:val="decimal"/>
      <w:lvlText w:val="%4."/>
      <w:lvlJc w:val="left"/>
      <w:pPr>
        <w:ind w:left="2520" w:hanging="360"/>
      </w:pPr>
    </w:lvl>
    <w:lvl w:ilvl="4" w:tplc="58B44E24" w:tentative="1">
      <w:start w:val="1"/>
      <w:numFmt w:val="lowerLetter"/>
      <w:lvlText w:val="%5."/>
      <w:lvlJc w:val="left"/>
      <w:pPr>
        <w:ind w:left="3240" w:hanging="360"/>
      </w:pPr>
    </w:lvl>
    <w:lvl w:ilvl="5" w:tplc="2BFCC90E" w:tentative="1">
      <w:start w:val="1"/>
      <w:numFmt w:val="lowerRoman"/>
      <w:lvlText w:val="%6."/>
      <w:lvlJc w:val="right"/>
      <w:pPr>
        <w:ind w:left="3960" w:hanging="180"/>
      </w:pPr>
    </w:lvl>
    <w:lvl w:ilvl="6" w:tplc="9D9C04FA" w:tentative="1">
      <w:start w:val="1"/>
      <w:numFmt w:val="decimal"/>
      <w:lvlText w:val="%7."/>
      <w:lvlJc w:val="left"/>
      <w:pPr>
        <w:ind w:left="4680" w:hanging="360"/>
      </w:pPr>
    </w:lvl>
    <w:lvl w:ilvl="7" w:tplc="2EE6BA58" w:tentative="1">
      <w:start w:val="1"/>
      <w:numFmt w:val="lowerLetter"/>
      <w:lvlText w:val="%8."/>
      <w:lvlJc w:val="left"/>
      <w:pPr>
        <w:ind w:left="5400" w:hanging="360"/>
      </w:pPr>
    </w:lvl>
    <w:lvl w:ilvl="8" w:tplc="602E3B62" w:tentative="1">
      <w:start w:val="1"/>
      <w:numFmt w:val="lowerRoman"/>
      <w:lvlText w:val="%9."/>
      <w:lvlJc w:val="right"/>
      <w:pPr>
        <w:ind w:left="6120" w:hanging="180"/>
      </w:pPr>
    </w:lvl>
  </w:abstractNum>
  <w:abstractNum w:abstractNumId="14" w15:restartNumberingAfterBreak="0">
    <w:nsid w:val="7782164F"/>
    <w:multiLevelType w:val="hybridMultilevel"/>
    <w:tmpl w:val="FEB63504"/>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90"/>
    <w:rsid w:val="000B49EC"/>
    <w:rsid w:val="000F6BBD"/>
    <w:rsid w:val="00116022"/>
    <w:rsid w:val="001D5596"/>
    <w:rsid w:val="00363BB6"/>
    <w:rsid w:val="00436BEA"/>
    <w:rsid w:val="004E127A"/>
    <w:rsid w:val="00594580"/>
    <w:rsid w:val="0077669B"/>
    <w:rsid w:val="00877C90"/>
    <w:rsid w:val="00903E6F"/>
    <w:rsid w:val="00AF28F6"/>
    <w:rsid w:val="00C57ED6"/>
    <w:rsid w:val="00C95465"/>
    <w:rsid w:val="00D30E5D"/>
    <w:rsid w:val="00DE5A17"/>
    <w:rsid w:val="00E54F4A"/>
    <w:rsid w:val="00EC185F"/>
    <w:rsid w:val="00F31111"/>
    <w:rsid w:val="00F34438"/>
    <w:rsid w:val="00FC02C4"/>
    <w:rsid w:val="00FD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8A27"/>
  <w15:docId w15:val="{D3AEA235-29D2-48BE-B136-1D8BE6BE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semiHidden/>
    <w:unhideWhenUsed/>
    <w:rsid w:val="00F3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spection.gc.ca/animaux/animaux-terrestres/maladies/declaration-obligatoire/peste-porcine-africaine/fra/1306983245302/130698337395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spection.gc.ca/animals/terrestrial-animals/diseases/reportable/african-swine-fever/eng/1306983245302/130698337395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881</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39</cp:revision>
  <cp:lastPrinted>2019-04-03T09:46:00Z</cp:lastPrinted>
  <dcterms:created xsi:type="dcterms:W3CDTF">2019-04-03T06:17:00Z</dcterms:created>
  <dcterms:modified xsi:type="dcterms:W3CDTF">2019-04-03T12:33:00Z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vt:lpwstr>
  </property>
</Properties>
</file>