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AF" w:rsidRPr="003C63F2" w:rsidRDefault="00BA0A61" w:rsidP="003C63F2">
      <w:pPr>
        <w:pStyle w:val="Titre"/>
        <w:rPr>
          <w:caps w:val="0"/>
          <w:kern w:val="0"/>
          <w:szCs w:val="22"/>
        </w:rPr>
      </w:pPr>
      <w:r w:rsidRPr="003C63F2">
        <w:rPr>
          <w:caps w:val="0"/>
          <w:kern w:val="0"/>
        </w:rPr>
        <w:t xml:space="preserve">NOTIFICATION OF EMERGENCY </w:t>
      </w:r>
      <w:r w:rsidRPr="003C63F2">
        <w:rPr>
          <w:caps w:val="0"/>
          <w:kern w:val="0"/>
          <w:szCs w:val="22"/>
        </w:rPr>
        <w:t>MEASURES</w:t>
      </w:r>
    </w:p>
    <w:p w:rsidR="004A19AF" w:rsidRPr="003C63F2" w:rsidRDefault="00BA0A61" w:rsidP="003C63F2">
      <w:pPr>
        <w:pStyle w:val="Title3"/>
      </w:pPr>
      <w:r w:rsidRPr="003C63F2">
        <w:t>Addendum</w:t>
      </w:r>
    </w:p>
    <w:p w:rsidR="004A19AF" w:rsidRPr="003C63F2" w:rsidRDefault="00BA0A61" w:rsidP="003C63F2">
      <w:pPr>
        <w:spacing w:after="120"/>
      </w:pPr>
      <w:r w:rsidRPr="00934B4C">
        <w:t xml:space="preserve">The following communication, received on </w:t>
      </w:r>
      <w:bookmarkStart w:id="0" w:name="spsDateReception"/>
      <w:r w:rsidRPr="00934B4C">
        <w:t>5 April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4A19AF" w:rsidRPr="003C63F2" w:rsidRDefault="004A19AF" w:rsidP="003C63F2"/>
    <w:p w:rsidR="004A19AF" w:rsidRPr="003C63F2" w:rsidRDefault="00BA0A61" w:rsidP="003C63F2">
      <w:pPr>
        <w:jc w:val="center"/>
        <w:rPr>
          <w:b/>
        </w:rPr>
      </w:pPr>
      <w:r w:rsidRPr="003C63F2">
        <w:rPr>
          <w:b/>
        </w:rPr>
        <w:t>_______________</w:t>
      </w:r>
    </w:p>
    <w:p w:rsidR="004A19AF" w:rsidRPr="003C63F2" w:rsidRDefault="004A19AF" w:rsidP="003C63F2"/>
    <w:p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7617E7" w:rsidTr="00C9391C">
        <w:tc>
          <w:tcPr>
            <w:tcW w:w="9242" w:type="dxa"/>
            <w:shd w:val="clear" w:color="auto" w:fill="auto"/>
          </w:tcPr>
          <w:p w:rsidR="004A19AF" w:rsidRPr="003C63F2" w:rsidRDefault="00BA0A61" w:rsidP="003C63F2">
            <w:pPr>
              <w:spacing w:after="240"/>
              <w:rPr>
                <w:u w:val="single"/>
              </w:rPr>
            </w:pPr>
            <w:r w:rsidRPr="003C63F2">
              <w:rPr>
                <w:u w:val="single"/>
              </w:rPr>
              <w:t>Order Imposing Conditions in Relation to Secondary Control Zones In Respect of African Swine Fever</w:t>
            </w:r>
            <w:bookmarkStart w:id="4" w:name="spsTitle"/>
            <w:bookmarkEnd w:id="4"/>
          </w:p>
        </w:tc>
      </w:tr>
      <w:tr w:rsidR="007617E7" w:rsidTr="00C9391C">
        <w:tc>
          <w:tcPr>
            <w:tcW w:w="9242" w:type="dxa"/>
            <w:shd w:val="clear" w:color="auto" w:fill="auto"/>
          </w:tcPr>
          <w:p w:rsidR="004A19AF" w:rsidRPr="003C63F2" w:rsidRDefault="00BA0A61" w:rsidP="003C63F2">
            <w:pPr>
              <w:spacing w:after="240"/>
              <w:rPr>
                <w:u w:val="single"/>
              </w:rPr>
            </w:pPr>
            <w:r w:rsidRPr="003C63F2">
              <w:t>The Canadian Food Inspection Agency (</w:t>
            </w:r>
            <w:proofErr w:type="spellStart"/>
            <w:r w:rsidRPr="003C63F2">
              <w:t>CFIA</w:t>
            </w:r>
            <w:proofErr w:type="spellEnd"/>
            <w:r w:rsidRPr="003C63F2">
              <w:t>) has implemented new import requirements for select feed ingredients imported from countries identified as posing a potential concern with respect to African Swine Fever (</w:t>
            </w:r>
            <w:proofErr w:type="spellStart"/>
            <w:r w:rsidRPr="003C63F2">
              <w:t>ASF</w:t>
            </w:r>
            <w:proofErr w:type="spellEnd"/>
            <w:r w:rsidRPr="003C63F2">
              <w:t>). The identified products will require an import permit prior to importation from the specified countries and the conditions in the implementing order and the import permit will need to be met. These conditions include heat treatment and/or hold times (depending on the product in question) designed to mitigate the risk of contamination of these products with the African Swine Fever virus.</w:t>
            </w:r>
          </w:p>
          <w:p w:rsidR="007617E7" w:rsidRPr="003C63F2" w:rsidRDefault="00BA0A61" w:rsidP="008E0755">
            <w:pPr>
              <w:spacing w:after="120"/>
            </w:pPr>
            <w:r w:rsidRPr="003C63F2">
              <w:t>Canada has expanded the list of regions or countries likely to be affected by this measure to include Cambodia. The updated list is noted below:</w:t>
            </w:r>
          </w:p>
          <w:p w:rsidR="007617E7" w:rsidRPr="00B6281F" w:rsidRDefault="00BA0A61" w:rsidP="00B6281F">
            <w:pPr>
              <w:spacing w:after="120"/>
              <w:rPr>
                <w:b/>
              </w:rPr>
            </w:pPr>
            <w:r w:rsidRPr="00B6281F">
              <w:rPr>
                <w:b/>
              </w:rPr>
              <w:t>Regions or countries likely to be affected, to the extent relevant or practicable:</w:t>
            </w:r>
          </w:p>
          <w:p w:rsidR="007617E7" w:rsidRPr="00B6281F" w:rsidRDefault="00BA0A61" w:rsidP="00B6281F">
            <w:pPr>
              <w:spacing w:after="120"/>
              <w:ind w:left="567" w:hanging="567"/>
              <w:rPr>
                <w:b/>
              </w:rPr>
            </w:pPr>
            <w:proofErr w:type="gramStart"/>
            <w:r w:rsidRPr="00B6281F">
              <w:rPr>
                <w:b/>
              </w:rPr>
              <w:t>[ ]</w:t>
            </w:r>
            <w:proofErr w:type="gramEnd"/>
            <w:r w:rsidR="00B6281F">
              <w:rPr>
                <w:b/>
              </w:rPr>
              <w:tab/>
            </w:r>
            <w:r w:rsidRPr="00B6281F">
              <w:rPr>
                <w:b/>
              </w:rPr>
              <w:t>All trading partners</w:t>
            </w:r>
          </w:p>
          <w:p w:rsidR="007617E7" w:rsidRPr="003C63F2" w:rsidRDefault="00BA0A61" w:rsidP="008E0755">
            <w:pPr>
              <w:spacing w:after="240"/>
              <w:ind w:left="567" w:hanging="567"/>
            </w:pPr>
            <w:r w:rsidRPr="00B6281F">
              <w:rPr>
                <w:b/>
              </w:rPr>
              <w:t>[X]</w:t>
            </w:r>
            <w:r w:rsidR="00B6281F">
              <w:rPr>
                <w:b/>
              </w:rPr>
              <w:tab/>
            </w:r>
            <w:r w:rsidRPr="00B6281F">
              <w:rPr>
                <w:b/>
              </w:rPr>
              <w:t>Specific regions or countries:</w:t>
            </w:r>
            <w:r w:rsidRPr="003C63F2">
              <w:t xml:space="preserve"> Belgium, Benin, Bulgaria, Burkina Faso, Burundi, Cabo Verde, </w:t>
            </w:r>
            <w:r w:rsidRPr="00BA0A61">
              <w:t>Cambodia</w:t>
            </w:r>
            <w:r w:rsidRPr="003C63F2">
              <w:t>, Cameroon, Central African Republic, Chad, China, Congo, Côte d'Ivoire, Czech Republic, Estonia, The Gambia, Ghana, Guinea-Bissau, Hungary, Italy, Kenya, Latvia, Lithuania, Madagascar, Malawi, Republic of Moldova, Mongolia, Mozambique, Namibia, Nigeria, Poland, Romania, Russian Federation, Rwanda, Senegal, Sierra Leone, South Africa, Tanzania, Togo, Ukraine, Viet Nam, Zambia, Zimbabwe</w:t>
            </w:r>
          </w:p>
          <w:p w:rsidR="007617E7" w:rsidRPr="003C63F2" w:rsidRDefault="00BA0A61" w:rsidP="00C351EE">
            <w:pPr>
              <w:spacing w:after="120"/>
            </w:pPr>
            <w:r w:rsidRPr="003C63F2">
              <w:t xml:space="preserve">Information associated with this measure is available on the </w:t>
            </w:r>
            <w:proofErr w:type="spellStart"/>
            <w:r w:rsidRPr="003C63F2">
              <w:t>CFIA</w:t>
            </w:r>
            <w:proofErr w:type="spellEnd"/>
            <w:r w:rsidRPr="003C63F2">
              <w:t xml:space="preserve"> website. In addition to the link provided in G/SPS/N/CAN/1244, further information can be found at the links below:</w:t>
            </w:r>
          </w:p>
          <w:p w:rsidR="007617E7" w:rsidRPr="003C63F2" w:rsidRDefault="00BA0A61" w:rsidP="00C351EE">
            <w:r w:rsidRPr="003C63F2">
              <w:t>Order Imposing Conditions in Relation to Secondary Control Zones In Respect of African Swine Fever</w:t>
            </w:r>
          </w:p>
          <w:p w:rsidR="007617E7" w:rsidRPr="003C63F2" w:rsidRDefault="00CC6569" w:rsidP="00C351EE">
            <w:hyperlink r:id="rId7" w:tgtFrame="_blank" w:history="1">
              <w:r w:rsidR="00BA0A61" w:rsidRPr="003C63F2">
                <w:rPr>
                  <w:color w:val="0000FF"/>
                  <w:u w:val="single"/>
                </w:rPr>
                <w:t>http://inspection.gc.ca/animals/terrestrial-animals/diseases/reportable/african-swine-fever/order-imposing-conditions/eng/1553865378110/1553865480887</w:t>
              </w:r>
            </w:hyperlink>
            <w:r w:rsidR="00BA0A61" w:rsidRPr="003C63F2">
              <w:t xml:space="preserve"> (English)</w:t>
            </w:r>
          </w:p>
          <w:p w:rsidR="007617E7" w:rsidRPr="003C63F2" w:rsidRDefault="00CC6569" w:rsidP="00C351EE">
            <w:pPr>
              <w:spacing w:after="120"/>
            </w:pPr>
            <w:hyperlink r:id="rId8" w:tgtFrame="_blank" w:history="1">
              <w:r w:rsidR="00BA0A61" w:rsidRPr="003C63F2">
                <w:rPr>
                  <w:color w:val="0000FF"/>
                  <w:u w:val="single"/>
                </w:rPr>
                <w:t>http://inspection.gc.ca/animaux/animaux-terrestres/maladies/declaration-obligatoire/peste-porcine-africaine/ordonnance-imposant-des-conditions/fra/1553865378110/1553865480887</w:t>
              </w:r>
            </w:hyperlink>
            <w:r w:rsidR="00BA0A61" w:rsidRPr="003C63F2">
              <w:t xml:space="preserve"> (French)</w:t>
            </w:r>
          </w:p>
          <w:p w:rsidR="007617E7" w:rsidRPr="003C63F2" w:rsidRDefault="00BA0A61" w:rsidP="00C351EE">
            <w:r w:rsidRPr="003C63F2">
              <w:t>Import requirements for plant-based feed ingredients imported for use in livestock feed</w:t>
            </w:r>
          </w:p>
          <w:p w:rsidR="007617E7" w:rsidRPr="003C63F2" w:rsidRDefault="00CC6569" w:rsidP="00C351EE">
            <w:hyperlink r:id="rId9" w:tgtFrame="_blank" w:history="1">
              <w:r w:rsidR="00BA0A61" w:rsidRPr="003C63F2">
                <w:rPr>
                  <w:color w:val="0000FF"/>
                  <w:u w:val="single"/>
                </w:rPr>
                <w:t>http://inspection.gc.ca/animals/terrestrial-animals/diseases/reportable/african-swine-fever/plant-based-feed-ingredients/eng/1553706365334/1553706365585</w:t>
              </w:r>
            </w:hyperlink>
            <w:r w:rsidR="00BA0A61" w:rsidRPr="003C63F2">
              <w:t xml:space="preserve"> (English)</w:t>
            </w:r>
          </w:p>
          <w:p w:rsidR="007617E7" w:rsidRPr="003C63F2" w:rsidRDefault="00CC6569" w:rsidP="00C351EE">
            <w:pPr>
              <w:spacing w:after="120"/>
            </w:pPr>
            <w:hyperlink r:id="rId10" w:tgtFrame="_blank" w:history="1">
              <w:r w:rsidR="00BA0A61" w:rsidRPr="003C63F2">
                <w:rPr>
                  <w:color w:val="0000FF"/>
                  <w:u w:val="single"/>
                </w:rPr>
                <w:t>http://inspection.gc.ca/animaux/animaux-terrestres/maladies/declaration-obligatoire/peste-porcine-africaine/ingredients-vegetaux-destines-aux-aliments-du-beta/fra/1553706365334/1553706365585</w:t>
              </w:r>
            </w:hyperlink>
            <w:r w:rsidR="00BA0A61" w:rsidRPr="003C63F2">
              <w:t xml:space="preserve"> (French)</w:t>
            </w:r>
          </w:p>
          <w:p w:rsidR="007617E7" w:rsidRPr="003C63F2" w:rsidRDefault="00BA0A61" w:rsidP="008E0755">
            <w:pPr>
              <w:keepNext/>
            </w:pPr>
            <w:r w:rsidRPr="003C63F2">
              <w:lastRenderedPageBreak/>
              <w:t>Notice to industry: Changes to import requirements for unprocessed grains and oilseeds, as well as associated meals destined for use in livestock feed</w:t>
            </w:r>
          </w:p>
          <w:p w:rsidR="007617E7" w:rsidRPr="003C63F2" w:rsidRDefault="00CC6569" w:rsidP="008E0755">
            <w:pPr>
              <w:keepNext/>
            </w:pPr>
            <w:hyperlink r:id="rId11" w:tgtFrame="_blank" w:history="1">
              <w:r w:rsidR="00BA0A61" w:rsidRPr="003C63F2">
                <w:rPr>
                  <w:color w:val="0000FF"/>
                  <w:u w:val="single"/>
                </w:rPr>
                <w:t>http://inspection.gc.ca/animals/terrestrial-animals/diseases/reportable/african-swine-fever/2019-03-29/eng/1553708455772/1553708455993</w:t>
              </w:r>
            </w:hyperlink>
            <w:r w:rsidR="00BA0A61" w:rsidRPr="003C63F2">
              <w:t xml:space="preserve"> (English)</w:t>
            </w:r>
          </w:p>
          <w:p w:rsidR="007617E7" w:rsidRPr="003C63F2" w:rsidRDefault="00CC6569" w:rsidP="003C63F2">
            <w:pPr>
              <w:spacing w:after="240"/>
            </w:pPr>
            <w:hyperlink r:id="rId12" w:tgtFrame="_blank" w:history="1">
              <w:r w:rsidR="00BA0A61" w:rsidRPr="003C63F2">
                <w:rPr>
                  <w:color w:val="0000FF"/>
                  <w:u w:val="single"/>
                </w:rPr>
                <w:t>http://inspection.gc.ca/animaux/animaux-terrestres/maladies/declaration-obligatoire/peste-porcine-africaine/2019-03-29/fra/1553708455772/1553708455993</w:t>
              </w:r>
            </w:hyperlink>
            <w:r w:rsidR="00BA0A61" w:rsidRPr="003C63F2">
              <w:t xml:space="preserve"> (French)</w:t>
            </w:r>
            <w:bookmarkStart w:id="5" w:name="spsMeasure"/>
            <w:bookmarkEnd w:id="5"/>
          </w:p>
        </w:tc>
      </w:tr>
      <w:tr w:rsidR="007617E7" w:rsidTr="00C9391C">
        <w:tc>
          <w:tcPr>
            <w:tcW w:w="9242" w:type="dxa"/>
            <w:shd w:val="clear" w:color="auto" w:fill="auto"/>
          </w:tcPr>
          <w:p w:rsidR="004A19AF" w:rsidRPr="003C63F2" w:rsidRDefault="00BA0A61" w:rsidP="003C63F2">
            <w:pPr>
              <w:spacing w:after="240"/>
              <w:rPr>
                <w:b/>
              </w:rPr>
            </w:pPr>
            <w:r w:rsidRPr="003C63F2">
              <w:rPr>
                <w:b/>
              </w:rPr>
              <w:lastRenderedPageBreak/>
              <w:t>This addendum concerns a:</w:t>
            </w:r>
          </w:p>
        </w:tc>
      </w:tr>
      <w:tr w:rsidR="007617E7" w:rsidTr="00C9391C">
        <w:tc>
          <w:tcPr>
            <w:tcW w:w="9242" w:type="dxa"/>
            <w:shd w:val="clear" w:color="auto" w:fill="auto"/>
          </w:tcPr>
          <w:p w:rsidR="004A19AF" w:rsidRPr="003C63F2" w:rsidRDefault="00BA0A61" w:rsidP="003C63F2">
            <w:pPr>
              <w:ind w:left="1440" w:hanging="873"/>
            </w:pPr>
            <w:r w:rsidRPr="003C63F2">
              <w:t>[ ]</w:t>
            </w:r>
            <w:bookmarkStart w:id="6" w:name="spsModificationComment"/>
            <w:bookmarkEnd w:id="6"/>
            <w:r w:rsidRPr="003C63F2">
              <w:tab/>
              <w:t>Modification of final date for comments</w:t>
            </w:r>
          </w:p>
        </w:tc>
      </w:tr>
      <w:tr w:rsidR="007617E7" w:rsidTr="00C9391C">
        <w:tc>
          <w:tcPr>
            <w:tcW w:w="9242" w:type="dxa"/>
            <w:shd w:val="clear" w:color="auto" w:fill="auto"/>
          </w:tcPr>
          <w:p w:rsidR="004A19AF" w:rsidRPr="003C63F2" w:rsidRDefault="00BA0A61"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7617E7" w:rsidTr="00C9391C">
        <w:tc>
          <w:tcPr>
            <w:tcW w:w="9242" w:type="dxa"/>
            <w:shd w:val="clear" w:color="auto" w:fill="auto"/>
          </w:tcPr>
          <w:p w:rsidR="004A19AF" w:rsidRPr="003C63F2" w:rsidRDefault="00BA0A61" w:rsidP="003C63F2">
            <w:pPr>
              <w:ind w:left="1440" w:hanging="873"/>
            </w:pPr>
            <w:r w:rsidRPr="003C63F2">
              <w:t>[ ]</w:t>
            </w:r>
            <w:bookmarkStart w:id="8" w:name="spsWithdraw"/>
            <w:bookmarkEnd w:id="8"/>
            <w:r w:rsidR="003F54AC" w:rsidRPr="003C63F2">
              <w:tab/>
              <w:t>Withdrawal of</w:t>
            </w:r>
            <w:r w:rsidRPr="003C63F2">
              <w:t xml:space="preserve"> regulation</w:t>
            </w:r>
          </w:p>
        </w:tc>
      </w:tr>
      <w:tr w:rsidR="007617E7" w:rsidTr="00C9391C">
        <w:tc>
          <w:tcPr>
            <w:tcW w:w="9242" w:type="dxa"/>
            <w:shd w:val="clear" w:color="auto" w:fill="auto"/>
          </w:tcPr>
          <w:p w:rsidR="004A19AF" w:rsidRPr="003C63F2" w:rsidRDefault="00BA0A61" w:rsidP="003C63F2">
            <w:pPr>
              <w:ind w:left="1440" w:hanging="873"/>
            </w:pPr>
            <w:r w:rsidRPr="003C63F2">
              <w:t>[ ]</w:t>
            </w:r>
            <w:bookmarkStart w:id="9" w:name="spsModificationDate"/>
            <w:bookmarkEnd w:id="9"/>
            <w:r w:rsidRPr="003C63F2">
              <w:tab/>
              <w:t>Change in period of application of measure</w:t>
            </w:r>
          </w:p>
        </w:tc>
      </w:tr>
      <w:tr w:rsidR="007617E7" w:rsidTr="00C9391C">
        <w:tc>
          <w:tcPr>
            <w:tcW w:w="9242" w:type="dxa"/>
            <w:shd w:val="clear" w:color="auto" w:fill="auto"/>
          </w:tcPr>
          <w:p w:rsidR="004A19AF" w:rsidRPr="003C63F2" w:rsidRDefault="00BA0A61" w:rsidP="003C63F2">
            <w:pPr>
              <w:spacing w:after="240"/>
              <w:ind w:left="1440" w:hanging="873"/>
            </w:pPr>
            <w:r w:rsidRPr="003C63F2">
              <w:t>[</w:t>
            </w:r>
            <w:bookmarkStart w:id="10" w:name="spsModificationOther"/>
            <w:r w:rsidRPr="003C63F2">
              <w:rPr>
                <w:b/>
              </w:rPr>
              <w:t>X</w:t>
            </w:r>
            <w:bookmarkEnd w:id="10"/>
            <w:r w:rsidRPr="003C63F2">
              <w:t>]</w:t>
            </w:r>
            <w:r w:rsidRPr="003C63F2">
              <w:tab/>
              <w:t>Other: Expansion of list of regions or countries likely to be affected by this measure; and links to additional information.</w:t>
            </w:r>
            <w:bookmarkStart w:id="11" w:name="spsModificationOtherText"/>
            <w:bookmarkEnd w:id="11"/>
          </w:p>
        </w:tc>
      </w:tr>
      <w:tr w:rsidR="007617E7" w:rsidTr="00C9391C">
        <w:tc>
          <w:tcPr>
            <w:tcW w:w="9242" w:type="dxa"/>
            <w:shd w:val="clear" w:color="auto" w:fill="auto"/>
          </w:tcPr>
          <w:p w:rsidR="004A19AF" w:rsidRPr="003C63F2" w:rsidRDefault="00BA0A61" w:rsidP="003C63F2">
            <w:pPr>
              <w:spacing w:after="240"/>
              <w:rPr>
                <w:b/>
              </w:rPr>
            </w:pPr>
            <w:r w:rsidRPr="003C63F2">
              <w:rPr>
                <w:b/>
              </w:rPr>
              <w:t>Agency or authority designated to handle comments: [ ]</w:t>
            </w:r>
            <w:bookmarkStart w:id="12" w:name="spsCommentNNA"/>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7617E7" w:rsidTr="00C9391C">
        <w:tc>
          <w:tcPr>
            <w:tcW w:w="9242" w:type="dxa"/>
            <w:shd w:val="clear" w:color="auto" w:fill="auto"/>
          </w:tcPr>
          <w:p w:rsidR="004A19AF" w:rsidRPr="003C63F2" w:rsidRDefault="00BA0A61" w:rsidP="003C63F2">
            <w:pPr>
              <w:spacing w:after="240"/>
            </w:pPr>
            <w:bookmarkStart w:id="14" w:name="spsCommentAddress"/>
            <w:bookmarkEnd w:id="14"/>
            <w:r w:rsidRPr="003C63F2">
              <w:t xml:space="preserve"> </w:t>
            </w:r>
          </w:p>
        </w:tc>
      </w:tr>
      <w:tr w:rsidR="007617E7" w:rsidTr="00C9391C">
        <w:tc>
          <w:tcPr>
            <w:tcW w:w="9242" w:type="dxa"/>
            <w:shd w:val="clear" w:color="auto" w:fill="auto"/>
          </w:tcPr>
          <w:p w:rsidR="004A19AF" w:rsidRPr="003C63F2" w:rsidRDefault="00BA0A61" w:rsidP="003C63F2">
            <w:pPr>
              <w:spacing w:after="240"/>
              <w:rPr>
                <w:b/>
              </w:rPr>
            </w:pPr>
            <w:r w:rsidRPr="003C63F2">
              <w:rPr>
                <w:b/>
              </w:rPr>
              <w:t>Text</w:t>
            </w:r>
            <w:r w:rsidR="006D1A59" w:rsidRPr="003C63F2">
              <w:rPr>
                <w:b/>
              </w:rPr>
              <w:t>(s)</w:t>
            </w:r>
            <w:r w:rsidRPr="003C63F2">
              <w:rPr>
                <w:b/>
              </w:rPr>
              <w:t xml:space="preserve"> available from: [ ]</w:t>
            </w:r>
            <w:bookmarkStart w:id="15" w:name="spsTextAvailableNNA"/>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7617E7" w:rsidTr="00C9391C">
        <w:tc>
          <w:tcPr>
            <w:tcW w:w="9242" w:type="dxa"/>
            <w:shd w:val="clear" w:color="auto" w:fill="auto"/>
          </w:tcPr>
          <w:p w:rsidR="004A19AF" w:rsidRPr="003C63F2" w:rsidRDefault="00BA0A61" w:rsidP="003C63F2">
            <w:r w:rsidRPr="003C63F2">
              <w:t>Canada's SPS and TBT Notification Authority and Enquiry Point</w:t>
            </w:r>
          </w:p>
          <w:p w:rsidR="007617E7" w:rsidRPr="003C63F2" w:rsidRDefault="00BA0A61" w:rsidP="003C63F2">
            <w:r w:rsidRPr="003C63F2">
              <w:t xml:space="preserve">Global Affairs </w:t>
            </w:r>
            <w:proofErr w:type="spellStart"/>
            <w:r w:rsidRPr="003C63F2">
              <w:t>CanadaTechnical</w:t>
            </w:r>
            <w:proofErr w:type="spellEnd"/>
            <w:r w:rsidRPr="003C63F2">
              <w:t xml:space="preserve"> Barriers and Regulations Division</w:t>
            </w:r>
          </w:p>
          <w:p w:rsidR="007617E7" w:rsidRPr="003C63F2" w:rsidRDefault="00BA0A61" w:rsidP="003C63F2">
            <w:r w:rsidRPr="003C63F2">
              <w:t>111 Sussex Drive</w:t>
            </w:r>
          </w:p>
          <w:p w:rsidR="007617E7" w:rsidRPr="003C63F2" w:rsidRDefault="00BA0A61" w:rsidP="003C63F2">
            <w:r w:rsidRPr="003C63F2">
              <w:t>Ottawa, Ontario K1A 0G2</w:t>
            </w:r>
          </w:p>
          <w:p w:rsidR="007617E7" w:rsidRPr="003C63F2" w:rsidRDefault="00BA0A61" w:rsidP="003C63F2">
            <w:r w:rsidRPr="003C63F2">
              <w:t>Tel: +(343) 203 4273</w:t>
            </w:r>
          </w:p>
          <w:p w:rsidR="007617E7" w:rsidRPr="003C63F2" w:rsidRDefault="00BA0A61" w:rsidP="003C63F2">
            <w:r w:rsidRPr="003C63F2">
              <w:t>Fax: +(613) 943 0346</w:t>
            </w:r>
          </w:p>
          <w:p w:rsidR="007617E7" w:rsidRPr="003C63F2" w:rsidRDefault="00BA0A61" w:rsidP="003C63F2">
            <w:pPr>
              <w:spacing w:after="240"/>
            </w:pPr>
            <w:r w:rsidRPr="003C63F2">
              <w:t>E-mail: enquirypoint@international.gc.ca</w:t>
            </w:r>
            <w:bookmarkStart w:id="17" w:name="spsTextSupplierAddress"/>
            <w:bookmarkEnd w:id="17"/>
            <w:r w:rsidRPr="003C63F2">
              <w:t xml:space="preserve"> </w:t>
            </w:r>
          </w:p>
        </w:tc>
      </w:tr>
    </w:tbl>
    <w:p w:rsidR="00CD1985" w:rsidRPr="003C63F2" w:rsidRDefault="00BA0A61" w:rsidP="003C63F2">
      <w:pPr>
        <w:jc w:val="center"/>
        <w:rPr>
          <w:b/>
        </w:rPr>
      </w:pPr>
      <w:r w:rsidRPr="003C63F2">
        <w:rPr>
          <w:b/>
        </w:rPr>
        <w:t>__________</w:t>
      </w:r>
    </w:p>
    <w:sectPr w:rsidR="00CD1985" w:rsidRPr="003C63F2" w:rsidSect="00575FF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C8D" w:rsidRDefault="00BA0A61">
      <w:r>
        <w:separator/>
      </w:r>
    </w:p>
  </w:endnote>
  <w:endnote w:type="continuationSeparator" w:id="0">
    <w:p w:rsidR="00D42C8D" w:rsidRDefault="00BA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575FFF" w:rsidRDefault="00575FFF" w:rsidP="00575FF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AF" w:rsidRPr="00575FFF" w:rsidRDefault="00575FFF" w:rsidP="00575FF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DD8" w:rsidRPr="003C63F2" w:rsidRDefault="00BA0A61">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C8D" w:rsidRDefault="00BA0A61">
      <w:r>
        <w:separator/>
      </w:r>
    </w:p>
  </w:footnote>
  <w:footnote w:type="continuationSeparator" w:id="0">
    <w:p w:rsidR="00D42C8D" w:rsidRDefault="00BA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FFF" w:rsidRPr="00575FFF" w:rsidRDefault="00575FFF" w:rsidP="00575FFF">
    <w:pPr>
      <w:pStyle w:val="En-tte"/>
      <w:pBdr>
        <w:bottom w:val="single" w:sz="4" w:space="1" w:color="auto"/>
      </w:pBdr>
      <w:tabs>
        <w:tab w:val="clear" w:pos="4513"/>
        <w:tab w:val="clear" w:pos="9027"/>
      </w:tabs>
      <w:jc w:val="center"/>
    </w:pPr>
    <w:r w:rsidRPr="00575FFF">
      <w:t>G/SPS/N/CAN/1244/Add.1</w:t>
    </w:r>
  </w:p>
  <w:p w:rsidR="00575FFF" w:rsidRPr="00575FFF" w:rsidRDefault="00575FFF" w:rsidP="00575FFF">
    <w:pPr>
      <w:pStyle w:val="En-tte"/>
      <w:pBdr>
        <w:bottom w:val="single" w:sz="4" w:space="1" w:color="auto"/>
      </w:pBdr>
      <w:tabs>
        <w:tab w:val="clear" w:pos="4513"/>
        <w:tab w:val="clear" w:pos="9027"/>
      </w:tabs>
      <w:jc w:val="center"/>
    </w:pPr>
  </w:p>
  <w:p w:rsidR="00575FFF" w:rsidRPr="00575FFF" w:rsidRDefault="00575FFF" w:rsidP="00575FFF">
    <w:pPr>
      <w:pStyle w:val="En-tte"/>
      <w:pBdr>
        <w:bottom w:val="single" w:sz="4" w:space="1" w:color="auto"/>
      </w:pBdr>
      <w:tabs>
        <w:tab w:val="clear" w:pos="4513"/>
        <w:tab w:val="clear" w:pos="9027"/>
      </w:tabs>
      <w:jc w:val="center"/>
    </w:pPr>
    <w:r w:rsidRPr="00575FFF">
      <w:t xml:space="preserve">- </w:t>
    </w:r>
    <w:r w:rsidRPr="00575FFF">
      <w:fldChar w:fldCharType="begin"/>
    </w:r>
    <w:r w:rsidRPr="00575FFF">
      <w:instrText xml:space="preserve"> PAGE </w:instrText>
    </w:r>
    <w:r w:rsidRPr="00575FFF">
      <w:fldChar w:fldCharType="separate"/>
    </w:r>
    <w:r w:rsidRPr="00575FFF">
      <w:rPr>
        <w:noProof/>
      </w:rPr>
      <w:t>2</w:t>
    </w:r>
    <w:r w:rsidRPr="00575FFF">
      <w:fldChar w:fldCharType="end"/>
    </w:r>
    <w:r w:rsidRPr="00575FFF">
      <w:t xml:space="preserve"> -</w:t>
    </w:r>
  </w:p>
  <w:p w:rsidR="004A19AF" w:rsidRPr="00575FFF" w:rsidRDefault="004A19AF" w:rsidP="00575FF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FFF" w:rsidRPr="00575FFF" w:rsidRDefault="00575FFF" w:rsidP="00575FFF">
    <w:pPr>
      <w:pStyle w:val="En-tte"/>
      <w:pBdr>
        <w:bottom w:val="single" w:sz="4" w:space="1" w:color="auto"/>
      </w:pBdr>
      <w:tabs>
        <w:tab w:val="clear" w:pos="4513"/>
        <w:tab w:val="clear" w:pos="9027"/>
      </w:tabs>
      <w:jc w:val="center"/>
    </w:pPr>
    <w:r w:rsidRPr="00575FFF">
      <w:t>G/SPS/N/CAN/1244/Add.1</w:t>
    </w:r>
  </w:p>
  <w:p w:rsidR="00575FFF" w:rsidRPr="00575FFF" w:rsidRDefault="00575FFF" w:rsidP="00575FFF">
    <w:pPr>
      <w:pStyle w:val="En-tte"/>
      <w:pBdr>
        <w:bottom w:val="single" w:sz="4" w:space="1" w:color="auto"/>
      </w:pBdr>
      <w:tabs>
        <w:tab w:val="clear" w:pos="4513"/>
        <w:tab w:val="clear" w:pos="9027"/>
      </w:tabs>
      <w:jc w:val="center"/>
    </w:pPr>
  </w:p>
  <w:p w:rsidR="00575FFF" w:rsidRPr="00575FFF" w:rsidRDefault="00575FFF" w:rsidP="00575FFF">
    <w:pPr>
      <w:pStyle w:val="En-tte"/>
      <w:pBdr>
        <w:bottom w:val="single" w:sz="4" w:space="1" w:color="auto"/>
      </w:pBdr>
      <w:tabs>
        <w:tab w:val="clear" w:pos="4513"/>
        <w:tab w:val="clear" w:pos="9027"/>
      </w:tabs>
      <w:jc w:val="center"/>
    </w:pPr>
    <w:r w:rsidRPr="00575FFF">
      <w:t xml:space="preserve">- </w:t>
    </w:r>
    <w:r w:rsidRPr="00575FFF">
      <w:fldChar w:fldCharType="begin"/>
    </w:r>
    <w:r w:rsidRPr="00575FFF">
      <w:instrText xml:space="preserve"> PAGE </w:instrText>
    </w:r>
    <w:r w:rsidRPr="00575FFF">
      <w:fldChar w:fldCharType="separate"/>
    </w:r>
    <w:r w:rsidRPr="00575FFF">
      <w:rPr>
        <w:noProof/>
      </w:rPr>
      <w:t>2</w:t>
    </w:r>
    <w:r w:rsidRPr="00575FFF">
      <w:fldChar w:fldCharType="end"/>
    </w:r>
    <w:r w:rsidRPr="00575FFF">
      <w:t xml:space="preserve"> -</w:t>
    </w:r>
  </w:p>
  <w:p w:rsidR="004A19AF" w:rsidRPr="00575FFF" w:rsidRDefault="004A19AF" w:rsidP="00575FF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17E7" w:rsidTr="00F94C86">
      <w:trPr>
        <w:trHeight w:val="240"/>
        <w:jc w:val="center"/>
      </w:trPr>
      <w:tc>
        <w:tcPr>
          <w:tcW w:w="3794" w:type="dxa"/>
          <w:shd w:val="clear" w:color="auto" w:fill="FFFFFF"/>
          <w:tcMar>
            <w:left w:w="108" w:type="dxa"/>
            <w:right w:w="108" w:type="dxa"/>
          </w:tcMar>
          <w:vAlign w:val="center"/>
        </w:tcPr>
        <w:p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575FFF" w:rsidP="00C10B2E">
          <w:pPr>
            <w:jc w:val="right"/>
            <w:rPr>
              <w:b/>
              <w:color w:val="FF0000"/>
              <w:szCs w:val="16"/>
            </w:rPr>
          </w:pPr>
          <w:r>
            <w:rPr>
              <w:b/>
              <w:color w:val="FF0000"/>
              <w:szCs w:val="16"/>
            </w:rPr>
            <w:t xml:space="preserve"> </w:t>
          </w:r>
        </w:p>
      </w:tc>
    </w:tr>
    <w:bookmarkEnd w:id="18"/>
    <w:tr w:rsidR="007617E7" w:rsidTr="00F94C86">
      <w:trPr>
        <w:trHeight w:val="213"/>
        <w:jc w:val="center"/>
      </w:trPr>
      <w:tc>
        <w:tcPr>
          <w:tcW w:w="3794" w:type="dxa"/>
          <w:vMerge w:val="restart"/>
          <w:shd w:val="clear" w:color="auto" w:fill="FFFFFF"/>
          <w:tcMar>
            <w:left w:w="0" w:type="dxa"/>
            <w:right w:w="0" w:type="dxa"/>
          </w:tcMar>
        </w:tcPr>
        <w:p w:rsidR="00ED54E0" w:rsidRPr="004A19AF" w:rsidRDefault="00BA0A61" w:rsidP="00C10B2E">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376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ED54E0" w:rsidP="00C10B2E">
          <w:pPr>
            <w:jc w:val="right"/>
            <w:rPr>
              <w:b/>
              <w:szCs w:val="16"/>
            </w:rPr>
          </w:pPr>
        </w:p>
      </w:tc>
    </w:tr>
    <w:tr w:rsidR="007617E7" w:rsidTr="00F94C86">
      <w:trPr>
        <w:trHeight w:val="868"/>
        <w:jc w:val="center"/>
      </w:trPr>
      <w:tc>
        <w:tcPr>
          <w:tcW w:w="3794" w:type="dxa"/>
          <w:vMerge/>
          <w:shd w:val="clear" w:color="auto" w:fill="FFFFFF"/>
          <w:tcMar>
            <w:left w:w="108" w:type="dxa"/>
            <w:right w:w="108" w:type="dxa"/>
          </w:tcMar>
        </w:tcPr>
        <w:p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rsidR="00575FFF" w:rsidRDefault="00575FFF" w:rsidP="009042DF">
          <w:pPr>
            <w:jc w:val="right"/>
            <w:rPr>
              <w:b/>
              <w:szCs w:val="16"/>
            </w:rPr>
          </w:pPr>
          <w:bookmarkStart w:id="19" w:name="bmkSymbols"/>
          <w:r>
            <w:rPr>
              <w:b/>
              <w:szCs w:val="16"/>
            </w:rPr>
            <w:t>G/SPS/N/CAN/1244/Add.1</w:t>
          </w:r>
        </w:p>
        <w:bookmarkEnd w:id="19"/>
        <w:p w:rsidR="00ED54E0" w:rsidRPr="003C63F2" w:rsidRDefault="00ED54E0" w:rsidP="009042DF">
          <w:pPr>
            <w:jc w:val="right"/>
            <w:rPr>
              <w:b/>
              <w:szCs w:val="16"/>
            </w:rPr>
          </w:pPr>
        </w:p>
      </w:tc>
    </w:tr>
    <w:tr w:rsidR="007617E7" w:rsidTr="00F94C86">
      <w:trPr>
        <w:trHeight w:val="240"/>
        <w:jc w:val="center"/>
      </w:trPr>
      <w:tc>
        <w:tcPr>
          <w:tcW w:w="3794" w:type="dxa"/>
          <w:vMerge/>
          <w:shd w:val="clear" w:color="auto" w:fill="FFFFFF"/>
          <w:tcMar>
            <w:left w:w="108" w:type="dxa"/>
            <w:right w:w="108" w:type="dxa"/>
          </w:tcMar>
          <w:vAlign w:val="center"/>
        </w:tcPr>
        <w:p w:rsidR="00ED54E0" w:rsidRPr="004A19AF" w:rsidRDefault="00ED54E0" w:rsidP="00C10B2E"/>
      </w:tc>
      <w:tc>
        <w:tcPr>
          <w:tcW w:w="5448" w:type="dxa"/>
          <w:gridSpan w:val="2"/>
          <w:shd w:val="clear" w:color="auto" w:fill="FFFFFF"/>
          <w:tcMar>
            <w:left w:w="108" w:type="dxa"/>
            <w:right w:w="108" w:type="dxa"/>
          </w:tcMar>
          <w:vAlign w:val="center"/>
        </w:tcPr>
        <w:p w:rsidR="00ED54E0" w:rsidRPr="004A19AF" w:rsidRDefault="00CC6569" w:rsidP="00C10B2E">
          <w:pPr>
            <w:jc w:val="right"/>
            <w:rPr>
              <w:szCs w:val="16"/>
            </w:rPr>
          </w:pPr>
          <w:bookmarkStart w:id="20" w:name="bmkDate"/>
          <w:bookmarkStart w:id="21" w:name="spsDateDistribution"/>
          <w:bookmarkEnd w:id="20"/>
          <w:bookmarkEnd w:id="21"/>
          <w:r>
            <w:rPr>
              <w:szCs w:val="16"/>
            </w:rPr>
            <w:t xml:space="preserve">8 April </w:t>
          </w:r>
          <w:r>
            <w:rPr>
              <w:szCs w:val="16"/>
            </w:rPr>
            <w:t>2019</w:t>
          </w:r>
          <w:bookmarkStart w:id="22" w:name="_GoBack"/>
          <w:bookmarkEnd w:id="22"/>
        </w:p>
      </w:tc>
    </w:tr>
    <w:tr w:rsidR="007617E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BA0A61" w:rsidP="00C10B2E">
          <w:pPr>
            <w:jc w:val="left"/>
            <w:rPr>
              <w:b/>
            </w:rPr>
          </w:pPr>
          <w:bookmarkStart w:id="23" w:name="bmkSerial"/>
          <w:r w:rsidRPr="003C63F2">
            <w:rPr>
              <w:color w:val="FF0000"/>
              <w:szCs w:val="16"/>
            </w:rPr>
            <w:t>(</w:t>
          </w:r>
          <w:bookmarkStart w:id="24" w:name="spsSerialNumber"/>
          <w:bookmarkEnd w:id="24"/>
          <w:r w:rsidR="00CC6569">
            <w:rPr>
              <w:color w:val="FF0000"/>
              <w:szCs w:val="16"/>
            </w:rPr>
            <w:t>19-2212</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4A19AF" w:rsidRDefault="00BA0A61"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7617E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575FFF"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rsidR="00ED54E0" w:rsidRPr="003C63F2" w:rsidRDefault="00575FFF" w:rsidP="00B728D5">
          <w:pPr>
            <w:jc w:val="right"/>
            <w:rPr>
              <w:bCs/>
              <w:szCs w:val="18"/>
            </w:rPr>
          </w:pPr>
          <w:bookmarkStart w:id="27" w:name="bmkLanguage"/>
          <w:r>
            <w:rPr>
              <w:bCs/>
              <w:szCs w:val="18"/>
            </w:rPr>
            <w:t>Original: English/French</w:t>
          </w:r>
          <w:bookmarkEnd w:id="27"/>
        </w:p>
      </w:tc>
    </w:tr>
  </w:tbl>
  <w:p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12FE98">
      <w:start w:val="1"/>
      <w:numFmt w:val="decimal"/>
      <w:pStyle w:val="SummaryText"/>
      <w:lvlText w:val="%1."/>
      <w:lvlJc w:val="left"/>
      <w:pPr>
        <w:ind w:left="360" w:hanging="360"/>
      </w:pPr>
    </w:lvl>
    <w:lvl w:ilvl="1" w:tplc="D8EC8EB8" w:tentative="1">
      <w:start w:val="1"/>
      <w:numFmt w:val="lowerLetter"/>
      <w:lvlText w:val="%2."/>
      <w:lvlJc w:val="left"/>
      <w:pPr>
        <w:ind w:left="1080" w:hanging="360"/>
      </w:pPr>
    </w:lvl>
    <w:lvl w:ilvl="2" w:tplc="C5525A94" w:tentative="1">
      <w:start w:val="1"/>
      <w:numFmt w:val="lowerRoman"/>
      <w:lvlText w:val="%3."/>
      <w:lvlJc w:val="right"/>
      <w:pPr>
        <w:ind w:left="1800" w:hanging="180"/>
      </w:pPr>
    </w:lvl>
    <w:lvl w:ilvl="3" w:tplc="76B804A2" w:tentative="1">
      <w:start w:val="1"/>
      <w:numFmt w:val="decimal"/>
      <w:lvlText w:val="%4."/>
      <w:lvlJc w:val="left"/>
      <w:pPr>
        <w:ind w:left="2520" w:hanging="360"/>
      </w:pPr>
    </w:lvl>
    <w:lvl w:ilvl="4" w:tplc="317E3D1C" w:tentative="1">
      <w:start w:val="1"/>
      <w:numFmt w:val="lowerLetter"/>
      <w:lvlText w:val="%5."/>
      <w:lvlJc w:val="left"/>
      <w:pPr>
        <w:ind w:left="3240" w:hanging="360"/>
      </w:pPr>
    </w:lvl>
    <w:lvl w:ilvl="5" w:tplc="B24EFF2C" w:tentative="1">
      <w:start w:val="1"/>
      <w:numFmt w:val="lowerRoman"/>
      <w:lvlText w:val="%6."/>
      <w:lvlJc w:val="right"/>
      <w:pPr>
        <w:ind w:left="3960" w:hanging="180"/>
      </w:pPr>
    </w:lvl>
    <w:lvl w:ilvl="6" w:tplc="D01AF5C8" w:tentative="1">
      <w:start w:val="1"/>
      <w:numFmt w:val="decimal"/>
      <w:lvlText w:val="%7."/>
      <w:lvlJc w:val="left"/>
      <w:pPr>
        <w:ind w:left="4680" w:hanging="360"/>
      </w:pPr>
    </w:lvl>
    <w:lvl w:ilvl="7" w:tplc="B6FC9740" w:tentative="1">
      <w:start w:val="1"/>
      <w:numFmt w:val="lowerLetter"/>
      <w:lvlText w:val="%8."/>
      <w:lvlJc w:val="left"/>
      <w:pPr>
        <w:ind w:left="5400" w:hanging="360"/>
      </w:pPr>
    </w:lvl>
    <w:lvl w:ilvl="8" w:tplc="D788F5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752F1"/>
    <w:rsid w:val="000A4945"/>
    <w:rsid w:val="000A5ED6"/>
    <w:rsid w:val="000B31E1"/>
    <w:rsid w:val="000E141D"/>
    <w:rsid w:val="0011356B"/>
    <w:rsid w:val="0013337F"/>
    <w:rsid w:val="00137888"/>
    <w:rsid w:val="00154A25"/>
    <w:rsid w:val="00164C04"/>
    <w:rsid w:val="00182B84"/>
    <w:rsid w:val="001E291F"/>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75FF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617E7"/>
    <w:rsid w:val="007A2D5D"/>
    <w:rsid w:val="007C6A4B"/>
    <w:rsid w:val="007E6507"/>
    <w:rsid w:val="007F2B8E"/>
    <w:rsid w:val="00807247"/>
    <w:rsid w:val="008265C7"/>
    <w:rsid w:val="00840C2B"/>
    <w:rsid w:val="008739FD"/>
    <w:rsid w:val="00893E85"/>
    <w:rsid w:val="008B6842"/>
    <w:rsid w:val="008E0755"/>
    <w:rsid w:val="008E372C"/>
    <w:rsid w:val="008F54CC"/>
    <w:rsid w:val="009042DF"/>
    <w:rsid w:val="00934B4C"/>
    <w:rsid w:val="009A6F54"/>
    <w:rsid w:val="009B5D45"/>
    <w:rsid w:val="009D52B3"/>
    <w:rsid w:val="009D647D"/>
    <w:rsid w:val="00A0058D"/>
    <w:rsid w:val="00A26FB6"/>
    <w:rsid w:val="00A6057A"/>
    <w:rsid w:val="00A74017"/>
    <w:rsid w:val="00AA332C"/>
    <w:rsid w:val="00AC2017"/>
    <w:rsid w:val="00AC27F8"/>
    <w:rsid w:val="00AD2F60"/>
    <w:rsid w:val="00AD4C72"/>
    <w:rsid w:val="00AE2AEE"/>
    <w:rsid w:val="00B00276"/>
    <w:rsid w:val="00B230EC"/>
    <w:rsid w:val="00B52738"/>
    <w:rsid w:val="00B56EDC"/>
    <w:rsid w:val="00B6281F"/>
    <w:rsid w:val="00B728D5"/>
    <w:rsid w:val="00BA0A61"/>
    <w:rsid w:val="00BB1F84"/>
    <w:rsid w:val="00BE5468"/>
    <w:rsid w:val="00BF7653"/>
    <w:rsid w:val="00C10B2E"/>
    <w:rsid w:val="00C11EAC"/>
    <w:rsid w:val="00C305D7"/>
    <w:rsid w:val="00C30F2A"/>
    <w:rsid w:val="00C351EE"/>
    <w:rsid w:val="00C43456"/>
    <w:rsid w:val="00C47C01"/>
    <w:rsid w:val="00C65C0C"/>
    <w:rsid w:val="00C808FC"/>
    <w:rsid w:val="00C9391C"/>
    <w:rsid w:val="00CC6569"/>
    <w:rsid w:val="00CD1985"/>
    <w:rsid w:val="00CD4E37"/>
    <w:rsid w:val="00CD7D97"/>
    <w:rsid w:val="00CE3EE6"/>
    <w:rsid w:val="00CE4BA1"/>
    <w:rsid w:val="00CE6EA9"/>
    <w:rsid w:val="00D000C7"/>
    <w:rsid w:val="00D42C8D"/>
    <w:rsid w:val="00D52A9D"/>
    <w:rsid w:val="00D55AAD"/>
    <w:rsid w:val="00D747AE"/>
    <w:rsid w:val="00D9226C"/>
    <w:rsid w:val="00DA20BD"/>
    <w:rsid w:val="00DE50DB"/>
    <w:rsid w:val="00DF6AE1"/>
    <w:rsid w:val="00E00116"/>
    <w:rsid w:val="00E46FD5"/>
    <w:rsid w:val="00E544BB"/>
    <w:rsid w:val="00E56545"/>
    <w:rsid w:val="00EA5D4F"/>
    <w:rsid w:val="00EB6C56"/>
    <w:rsid w:val="00ED313F"/>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FD77"/>
  <w15:docId w15:val="{EB3260E4-EAD6-41DD-BE6F-77B30BA8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inspection.gc.ca/animaux/animaux-terrestres/maladies/declaration-obligatoire/peste-porcine-africaine/ordonnance-imposant-des-conditions/fra/1553865378110/155386548088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nspection.gc.ca/animals/terrestrial-animals/diseases/reportable/african-swine-fever/order-imposing-conditions/eng/1553865378110/1553865480887" TargetMode="External"/><Relationship Id="rId12" Type="http://schemas.openxmlformats.org/officeDocument/2006/relationships/hyperlink" Target="http://inspection.gc.ca/animaux/animaux-terrestres/maladies/declaration-obligatoire/peste-porcine-africaine/2019-03-29/fra/1553708455772/155370845599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spection.gc.ca/animals/terrestrial-animals/diseases/reportable/african-swine-fever/2019-03-29/eng/1553708455772/155370845599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nspection.gc.ca/animaux/animaux-terrestres/maladies/declaration-obligatoire/peste-porcine-africaine/ingredients-vegetaux-destines-aux-aliments-du-beta/fra/1553706365334/15537063655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spection.gc.ca/animals/terrestrial-animals/diseases/reportable/african-swine-fever/plant-based-feed-ingredients/eng/1553706365334/1553706365585"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809</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Laverriere, Chantal</cp:lastModifiedBy>
  <cp:revision>13</cp:revision>
  <dcterms:created xsi:type="dcterms:W3CDTF">2019-04-08T06:21:00Z</dcterms:created>
  <dcterms:modified xsi:type="dcterms:W3CDTF">2019-04-08T08:26:00Z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G/SPS/N/CAN/1244/Add.1</vt:lpwstr>
  </property>
</Properties>
</file>